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F63" w:rsidRDefault="00CC49D7">
      <w:pPr>
        <w:pStyle w:val="Header"/>
        <w:tabs>
          <w:tab w:val="clear" w:pos="4536"/>
          <w:tab w:val="clear" w:pos="9072"/>
          <w:tab w:val="right" w:pos="9492"/>
        </w:tabs>
        <w:snapToGrid w:val="0"/>
        <w:rPr>
          <w:rFonts w:eastAsia="宋体" w:cs="Arial"/>
          <w:sz w:val="22"/>
          <w:szCs w:val="22"/>
          <w:lang w:eastAsia="zh-CN"/>
        </w:rPr>
      </w:pPr>
      <w:r>
        <w:rPr>
          <w:rFonts w:cs="Arial"/>
          <w:sz w:val="22"/>
          <w:szCs w:val="22"/>
        </w:rPr>
        <w:t>3GPP TSG RAN WG1 Meeting #</w:t>
      </w:r>
      <w:r>
        <w:rPr>
          <w:rFonts w:eastAsia="宋体" w:cs="Arial"/>
          <w:sz w:val="22"/>
          <w:szCs w:val="22"/>
          <w:lang w:eastAsia="zh-CN"/>
        </w:rPr>
        <w:t>114bis</w:t>
      </w:r>
      <w:r>
        <w:rPr>
          <w:rFonts w:eastAsia="宋体" w:cs="Arial"/>
          <w:sz w:val="23"/>
          <w:szCs w:val="23"/>
          <w:lang w:eastAsia="zh-CN"/>
        </w:rPr>
        <w:tab/>
      </w:r>
      <w:r>
        <w:rPr>
          <w:rFonts w:cs="Arial"/>
          <w:sz w:val="22"/>
          <w:szCs w:val="22"/>
          <w:lang w:eastAsia="ja-JP"/>
        </w:rPr>
        <w:t>R1-</w:t>
      </w:r>
      <w:r>
        <w:rPr>
          <w:rFonts w:cs="Arial"/>
          <w:sz w:val="22"/>
          <w:szCs w:val="22"/>
        </w:rPr>
        <w:t>2309019</w:t>
      </w:r>
    </w:p>
    <w:p w:rsidR="00AD2F63" w:rsidRDefault="00CC49D7">
      <w:pPr>
        <w:tabs>
          <w:tab w:val="center" w:pos="4536"/>
          <w:tab w:val="right" w:pos="9072"/>
        </w:tabs>
        <w:rPr>
          <w:rFonts w:ascii="Arial" w:eastAsia="宋体" w:hAnsi="Arial" w:cs="Arial"/>
          <w:b/>
          <w:bCs/>
          <w:sz w:val="22"/>
        </w:rPr>
      </w:pPr>
      <w:r>
        <w:rPr>
          <w:rFonts w:ascii="Arial" w:eastAsia="宋体" w:hAnsi="Arial" w:cs="Arial"/>
          <w:b/>
          <w:sz w:val="22"/>
        </w:rPr>
        <w:t>Xiamen</w:t>
      </w:r>
      <w:r>
        <w:rPr>
          <w:rFonts w:ascii="Arial" w:hAnsi="Arial" w:cs="Arial"/>
          <w:b/>
          <w:sz w:val="22"/>
        </w:rPr>
        <w:t>,</w:t>
      </w:r>
      <w:r>
        <w:rPr>
          <w:rFonts w:ascii="Arial" w:eastAsia="宋体" w:hAnsi="Arial" w:cs="Arial"/>
          <w:b/>
          <w:sz w:val="22"/>
        </w:rPr>
        <w:t xml:space="preserve"> China,</w:t>
      </w:r>
      <w:r>
        <w:rPr>
          <w:rFonts w:ascii="Arial" w:hAnsi="Arial" w:cs="Arial"/>
          <w:b/>
          <w:sz w:val="22"/>
        </w:rPr>
        <w:t xml:space="preserve"> </w:t>
      </w:r>
      <w:r>
        <w:rPr>
          <w:rFonts w:ascii="Arial" w:eastAsia="宋体" w:hAnsi="Arial" w:cs="Arial"/>
          <w:b/>
          <w:sz w:val="22"/>
        </w:rPr>
        <w:t>October</w:t>
      </w:r>
      <w:r>
        <w:rPr>
          <w:rFonts w:ascii="Arial" w:eastAsia="MS Mincho" w:hAnsi="Arial" w:cs="Arial"/>
          <w:b/>
          <w:sz w:val="22"/>
          <w:lang w:eastAsia="ja-JP"/>
        </w:rPr>
        <w:t xml:space="preserve"> </w:t>
      </w:r>
      <w:r>
        <w:rPr>
          <w:rFonts w:ascii="Arial" w:eastAsia="宋体" w:hAnsi="Arial" w:cs="Arial"/>
          <w:b/>
          <w:sz w:val="22"/>
        </w:rPr>
        <w:t>9</w:t>
      </w:r>
      <w:r>
        <w:rPr>
          <w:rFonts w:ascii="Arial" w:eastAsia="宋体" w:hAnsi="Arial" w:cs="Arial"/>
          <w:b/>
          <w:sz w:val="22"/>
          <w:vertAlign w:val="superscript"/>
        </w:rPr>
        <w:t>th</w:t>
      </w:r>
      <w:r>
        <w:rPr>
          <w:rFonts w:ascii="Arial" w:eastAsia="MS Mincho" w:hAnsi="Arial" w:cs="Arial"/>
          <w:b/>
          <w:sz w:val="22"/>
          <w:lang w:eastAsia="ja-JP"/>
        </w:rPr>
        <w:t xml:space="preserve"> – </w:t>
      </w:r>
      <w:r>
        <w:rPr>
          <w:rFonts w:ascii="Arial" w:eastAsia="宋体" w:hAnsi="Arial" w:cs="Arial"/>
          <w:b/>
          <w:sz w:val="22"/>
        </w:rPr>
        <w:t>October 13</w:t>
      </w:r>
      <w:r>
        <w:rPr>
          <w:rFonts w:ascii="Arial" w:eastAsia="MS Mincho" w:hAnsi="Arial" w:cs="Arial"/>
          <w:b/>
          <w:sz w:val="22"/>
          <w:vertAlign w:val="superscript"/>
          <w:lang w:eastAsia="ja-JP"/>
        </w:rPr>
        <w:t>th</w:t>
      </w:r>
      <w:r>
        <w:rPr>
          <w:rFonts w:ascii="Arial" w:eastAsia="MS Mincho" w:hAnsi="Arial" w:cs="Arial"/>
          <w:b/>
          <w:sz w:val="22"/>
          <w:lang w:eastAsia="ja-JP"/>
        </w:rPr>
        <w:t>,</w:t>
      </w:r>
      <w:r>
        <w:rPr>
          <w:rFonts w:ascii="Arial" w:eastAsia="宋体" w:hAnsi="Arial" w:cs="Arial"/>
          <w:b/>
          <w:sz w:val="28"/>
          <w:szCs w:val="24"/>
          <w:lang w:bidi="ar"/>
        </w:rPr>
        <w:t xml:space="preserve"> </w:t>
      </w:r>
      <w:r>
        <w:rPr>
          <w:rFonts w:ascii="Arial" w:eastAsia="MS Mincho" w:hAnsi="Arial" w:cs="Arial"/>
          <w:b/>
          <w:sz w:val="22"/>
          <w:lang w:eastAsia="ja-JP"/>
        </w:rPr>
        <w:t>20</w:t>
      </w:r>
      <w:r>
        <w:rPr>
          <w:rFonts w:ascii="Arial" w:eastAsia="宋体" w:hAnsi="Arial" w:cs="Arial"/>
          <w:b/>
          <w:sz w:val="22"/>
        </w:rPr>
        <w:t>23</w:t>
      </w:r>
    </w:p>
    <w:p w:rsidR="00AD2F63" w:rsidRDefault="00CC49D7">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AD2F63" w:rsidRDefault="00CC49D7">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Maintenance on SRI/TPMI enhancement for enabling 8 TX UL transmission</w:t>
      </w:r>
    </w:p>
    <w:p w:rsidR="00AD2F63" w:rsidRDefault="00CC49D7">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8.1.4.2</w:t>
      </w:r>
    </w:p>
    <w:p w:rsidR="00AD2F63" w:rsidRDefault="00CC49D7">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AD2F63" w:rsidRDefault="00CC49D7">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AD2F63" w:rsidRDefault="00CC49D7">
      <w:pPr>
        <w:snapToGrid w:val="0"/>
        <w:spacing w:beforeLines="30" w:before="72" w:afterLines="30" w:after="72" w:line="288" w:lineRule="auto"/>
        <w:jc w:val="both"/>
        <w:rPr>
          <w:rFonts w:eastAsia="等线"/>
          <w:bCs/>
          <w:szCs w:val="18"/>
        </w:rPr>
      </w:pPr>
      <w:r>
        <w:rPr>
          <w:rFonts w:eastAsia="宋体" w:cs="Times" w:hint="eastAsia"/>
          <w:bCs/>
        </w:rPr>
        <w:t xml:space="preserve">Regarding 8Tx UL transmission, enhancement for codebook and SRI/TPMI, including 2CW and full power scheme, have been discussed and almost completed as in RAN1 specs </w:t>
      </w:r>
      <w:r>
        <w:rPr>
          <w:rFonts w:eastAsia="等线" w:hint="eastAsia"/>
          <w:bCs/>
          <w:szCs w:val="18"/>
          <w:vertAlign w:val="superscript"/>
        </w:rPr>
        <w:t>[1</w:t>
      </w:r>
      <w:proofErr w:type="gramStart"/>
      <w:r>
        <w:rPr>
          <w:rFonts w:eastAsia="等线" w:hint="eastAsia"/>
          <w:bCs/>
          <w:szCs w:val="18"/>
          <w:vertAlign w:val="superscript"/>
        </w:rPr>
        <w:t>],[</w:t>
      </w:r>
      <w:proofErr w:type="gramEnd"/>
      <w:r>
        <w:rPr>
          <w:rFonts w:eastAsia="等线" w:hint="eastAsia"/>
          <w:bCs/>
          <w:szCs w:val="18"/>
          <w:vertAlign w:val="superscript"/>
        </w:rPr>
        <w:t>2],[3]</w:t>
      </w:r>
      <w:r>
        <w:rPr>
          <w:rFonts w:eastAsia="等线" w:hint="eastAsia"/>
          <w:bCs/>
          <w:szCs w:val="18"/>
        </w:rPr>
        <w:t>. However, some remaining issues may need more discussions, such as full power s</w:t>
      </w:r>
      <w:r>
        <w:rPr>
          <w:rFonts w:eastAsia="等线" w:hint="eastAsia"/>
          <w:bCs/>
          <w:szCs w:val="18"/>
        </w:rPr>
        <w:t xml:space="preserve">cheme for mode 2 in the case of Ng=4 and 8, and more possible allowable full power codebooks for full power mode 1, which are discussed in the following. </w:t>
      </w:r>
    </w:p>
    <w:p w:rsidR="00AD2F63" w:rsidRDefault="00CC49D7">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Full power scheme for 8-Tx UL transmission</w:t>
      </w:r>
    </w:p>
    <w:p w:rsidR="00AD2F63" w:rsidRDefault="00CC49D7">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Full power mode 1</w:t>
      </w:r>
    </w:p>
    <w:p w:rsidR="00AD2F63" w:rsidRDefault="00CC49D7">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For full power mode 1, some precoders with higher coherent level than UE capability </w:t>
      </w:r>
      <w:proofErr w:type="gramStart"/>
      <w:r>
        <w:rPr>
          <w:rFonts w:eastAsia="宋体" w:hint="eastAsia"/>
        </w:rPr>
        <w:t>are</w:t>
      </w:r>
      <w:proofErr w:type="gramEnd"/>
      <w:r>
        <w:rPr>
          <w:rFonts w:eastAsia="宋体" w:hint="eastAsia"/>
        </w:rPr>
        <w:t xml:space="preserve"> considered to be used. The following agreements were reached in RAN1 #114.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7"/>
      </w:tblGrid>
      <w:tr w:rsidR="00AD2F63">
        <w:tc>
          <w:tcPr>
            <w:tcW w:w="9557" w:type="dxa"/>
          </w:tcPr>
          <w:p w:rsidR="00AD2F63" w:rsidRDefault="00CC49D7">
            <w:pPr>
              <w:contextualSpacing/>
              <w:rPr>
                <w:b/>
                <w:bCs/>
                <w:szCs w:val="20"/>
                <w:highlight w:val="green"/>
              </w:rPr>
            </w:pPr>
            <w:r>
              <w:rPr>
                <w:b/>
                <w:bCs/>
                <w:szCs w:val="20"/>
                <w:u w:val="single"/>
              </w:rPr>
              <w:t>Agreement</w:t>
            </w:r>
          </w:p>
          <w:p w:rsidR="00AD2F63" w:rsidRDefault="00CC49D7">
            <w:pPr>
              <w:rPr>
                <w:rFonts w:cs="Times"/>
                <w:iCs/>
                <w:szCs w:val="20"/>
              </w:rPr>
            </w:pPr>
            <w:r>
              <w:rPr>
                <w:rFonts w:cs="Times"/>
                <w:iCs/>
                <w:szCs w:val="20"/>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495"/>
            </w:tblGrid>
            <w:tr w:rsidR="00AD2F63">
              <w:trPr>
                <w:trHeight w:val="338"/>
              </w:trPr>
              <w:tc>
                <w:tcPr>
                  <w:tcW w:w="2495"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Calibri"/>
                      <w:sz w:val="22"/>
                    </w:rPr>
                  </w:pPr>
                  <w:r>
                    <w:rPr>
                      <w:szCs w:val="20"/>
                    </w:rPr>
                    <w:t>Rank = 1</w:t>
                  </w:r>
                </w:p>
              </w:tc>
            </w:tr>
            <w:tr w:rsidR="00AD2F63">
              <w:tc>
                <w:tcPr>
                  <w:tcW w:w="2495"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szCs w:val="20"/>
                    </w:rPr>
                  </w:pPr>
                  <m:oMathPara>
                    <m:oMath>
                      <m:f>
                        <m:fPr>
                          <m:ctrlPr>
                            <w:rPr>
                              <w:rFonts w:ascii="Cambria Math" w:hAnsi="Cambria Math"/>
                              <w:i/>
                              <w:kern w:val="2"/>
                              <w:szCs w:val="20"/>
                            </w:rPr>
                          </m:ctrlPr>
                        </m:fPr>
                        <m:num>
                          <m:r>
                            <w:rPr>
                              <w:rFonts w:ascii="Cambria Math" w:hAnsi="Cambria Math"/>
                              <w:szCs w:val="20"/>
                            </w:rPr>
                            <m:t>1</m:t>
                          </m:r>
                          <m:ctrlPr>
                            <w:rPr>
                              <w:rFonts w:ascii="Cambria Math" w:hAnsi="Cambria Math"/>
                              <w:sz w:val="16"/>
                              <w:szCs w:val="20"/>
                            </w:rPr>
                          </m:ctrlPr>
                        </m:num>
                        <m:den>
                          <m:r>
                            <w:rPr>
                              <w:rFonts w:ascii="Cambria Math" w:hAnsi="Cambria Math"/>
                              <w:szCs w:val="20"/>
                            </w:rPr>
                            <m:t>2</m:t>
                          </m:r>
                          <m:rad>
                            <m:radPr>
                              <m:degHide m:val="1"/>
                              <m:ctrlPr>
                                <w:rPr>
                                  <w:rFonts w:ascii="Cambria Math" w:hAnsi="Cambria Math"/>
                                  <w:i/>
                                  <w:kern w:val="2"/>
                                  <w:szCs w:val="20"/>
                                </w:rPr>
                              </m:ctrlPr>
                            </m:radPr>
                            <m:deg>
                              <m:ctrlPr>
                                <w:rPr>
                                  <w:rFonts w:ascii="Cambria Math" w:hAnsi="Cambria Math"/>
                                  <w:sz w:val="16"/>
                                  <w:szCs w:val="20"/>
                                </w:rPr>
                              </m:ctrlPr>
                            </m:deg>
                            <m:e>
                              <m:r>
                                <w:rPr>
                                  <w:rFonts w:ascii="Cambria Math" w:hAnsi="Cambria Math"/>
                                  <w:szCs w:val="20"/>
                                </w:rPr>
                                <m:t>2</m:t>
                              </m:r>
                              <m:ctrlPr>
                                <w:rPr>
                                  <w:rFonts w:ascii="Cambria Math" w:hAnsi="Cambria Math"/>
                                  <w:sz w:val="16"/>
                                  <w:szCs w:val="20"/>
                                </w:rPr>
                              </m:ctrlPr>
                            </m:e>
                          </m:rad>
                        </m:den>
                      </m:f>
                      <m:d>
                        <m:dPr>
                          <m:begChr m:val="["/>
                          <m:endChr m:val="]"/>
                          <m:ctrlPr>
                            <w:rPr>
                              <w:rFonts w:ascii="Cambria Math" w:hAnsi="Cambria Math"/>
                              <w:i/>
                              <w:kern w:val="2"/>
                              <w:szCs w:val="20"/>
                            </w:rPr>
                          </m:ctrlPr>
                        </m:dPr>
                        <m:e>
                          <m:m>
                            <m:mPr>
                              <m:mcs>
                                <m:mc>
                                  <m:mcPr>
                                    <m:count m:val="1"/>
                                    <m:mcJc m:val="center"/>
                                  </m:mcPr>
                                </m:mc>
                              </m:mcs>
                              <m:ctrlPr>
                                <w:rPr>
                                  <w:rFonts w:ascii="Cambria Math" w:hAnsi="Cambria Math"/>
                                  <w:i/>
                                  <w:kern w:val="2"/>
                                  <w:szCs w:val="20"/>
                                </w:rPr>
                              </m:ctrlPr>
                            </m:mPr>
                            <m:mr>
                              <m:e>
                                <m:r>
                                  <w:rPr>
                                    <w:rFonts w:ascii="Cambria Math" w:hAnsi="Cambria Math"/>
                                    <w:szCs w:val="20"/>
                                  </w:rPr>
                                  <m:t>1</m:t>
                                </m:r>
                                <m:ctrlPr>
                                  <w:rPr>
                                    <w:rFonts w:ascii="Cambria Math" w:hAnsi="Cambria Math"/>
                                    <w:sz w:val="16"/>
                                    <w:szCs w:val="20"/>
                                  </w:rPr>
                                </m:ctrlPr>
                              </m:e>
                            </m:mr>
                            <m:mr>
                              <m:e>
                                <m:r>
                                  <w:rPr>
                                    <w:rFonts w:ascii="Cambria Math" w:hAnsi="Cambria Math"/>
                                    <w:szCs w:val="20"/>
                                  </w:rPr>
                                  <m:t>1</m:t>
                                </m:r>
                                <m:ctrlPr>
                                  <w:rPr>
                                    <w:rFonts w:ascii="Cambria Math" w:hAnsi="Cambria Math"/>
                                    <w:sz w:val="16"/>
                                    <w:szCs w:val="20"/>
                                  </w:rPr>
                                </m:ctrlPr>
                              </m:e>
                            </m:mr>
                            <m:mr>
                              <m:e>
                                <m:r>
                                  <w:rPr>
                                    <w:rFonts w:ascii="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hAnsi="Cambria Math"/>
                                    <w:sz w:val="16"/>
                                    <w:szCs w:val="20"/>
                                  </w:rPr>
                                </m:ctrlPr>
                              </m:e>
                            </m:mr>
                          </m:m>
                        </m:e>
                      </m:d>
                    </m:oMath>
                  </m:oMathPara>
                </w:p>
              </w:tc>
            </w:tr>
          </w:tbl>
          <w:p w:rsidR="00AD2F63" w:rsidRDefault="00CC49D7">
            <w:pPr>
              <w:pStyle w:val="ListParagraph"/>
              <w:numPr>
                <w:ilvl w:val="0"/>
                <w:numId w:val="9"/>
              </w:numPr>
              <w:ind w:firstLine="400"/>
              <w:contextualSpacing/>
              <w:rPr>
                <w:rFonts w:cs="Times"/>
                <w:iCs/>
                <w:szCs w:val="20"/>
              </w:rPr>
            </w:pPr>
            <w:r>
              <w:rPr>
                <w:i/>
                <w:iCs/>
              </w:rPr>
              <w:t>FFS other additions</w:t>
            </w:r>
          </w:p>
          <w:p w:rsidR="00AD2F63" w:rsidRDefault="00CC49D7">
            <w:pPr>
              <w:contextualSpacing/>
              <w:rPr>
                <w:b/>
                <w:bCs/>
                <w:szCs w:val="20"/>
                <w:highlight w:val="green"/>
              </w:rPr>
            </w:pPr>
            <w:r>
              <w:rPr>
                <w:b/>
                <w:bCs/>
                <w:szCs w:val="20"/>
                <w:u w:val="single"/>
              </w:rPr>
              <w:t>Agreement</w:t>
            </w:r>
          </w:p>
          <w:p w:rsidR="00AD2F63" w:rsidRDefault="00CC49D7">
            <w:pPr>
              <w:snapToGrid w:val="0"/>
              <w:contextualSpacing/>
              <w:rPr>
                <w:szCs w:val="20"/>
              </w:rPr>
            </w:pPr>
            <w:r>
              <w:rPr>
                <w:szCs w:val="20"/>
              </w:rPr>
              <w:t xml:space="preserve">For an 8TX UE, with Ng=4, configured for full power transmission with </w:t>
            </w:r>
            <w:r>
              <w:rPr>
                <w:szCs w:val="20"/>
              </w:rPr>
              <w:t>‘fullpowerMode1’, at least following precoders are supported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AD2F63">
              <w:tc>
                <w:tcPr>
                  <w:tcW w:w="1802"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4</w:t>
                  </w:r>
                </w:p>
              </w:tc>
            </w:tr>
            <w:tr w:rsidR="00AD2F63">
              <w:tc>
                <w:tcPr>
                  <w:tcW w:w="1802"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 w:val="16"/>
                      <w:szCs w:val="16"/>
                    </w:rPr>
                  </w:pPr>
                  <m:oMathPara>
                    <m:oMath>
                      <m:f>
                        <m:fPr>
                          <m:ctrlPr>
                            <w:rPr>
                              <w:rFonts w:ascii="Cambria Math" w:hAnsi="Cambria Math"/>
                              <w:i/>
                              <w:kern w:val="2"/>
                              <w:szCs w:val="20"/>
                            </w:rPr>
                          </m:ctrlPr>
                        </m:fPr>
                        <m:num>
                          <m:r>
                            <w:rPr>
                              <w:rFonts w:ascii="Cambria Math" w:hAnsi="Cambria Math"/>
                              <w:szCs w:val="20"/>
                            </w:rPr>
                            <m:t>1</m:t>
                          </m:r>
                          <m:ctrlPr>
                            <w:rPr>
                              <w:rFonts w:ascii="Cambria Math" w:hAnsi="Cambria Math"/>
                              <w:sz w:val="16"/>
                              <w:szCs w:val="20"/>
                            </w:rPr>
                          </m:ctrlPr>
                        </m:num>
                        <m:den>
                          <m:r>
                            <w:rPr>
                              <w:rFonts w:ascii="Cambria Math" w:hAnsi="Cambria Math"/>
                              <w:szCs w:val="20"/>
                            </w:rPr>
                            <m:t>2</m:t>
                          </m:r>
                          <m:rad>
                            <m:radPr>
                              <m:degHide m:val="1"/>
                              <m:ctrlPr>
                                <w:rPr>
                                  <w:rFonts w:ascii="Cambria Math" w:hAnsi="Cambria Math"/>
                                  <w:i/>
                                  <w:kern w:val="2"/>
                                  <w:szCs w:val="20"/>
                                </w:rPr>
                              </m:ctrlPr>
                            </m:radPr>
                            <m:deg>
                              <m:ctrlPr>
                                <w:rPr>
                                  <w:rFonts w:ascii="Cambria Math" w:hAnsi="Cambria Math"/>
                                  <w:sz w:val="16"/>
                                  <w:szCs w:val="20"/>
                                </w:rPr>
                              </m:ctrlPr>
                            </m:deg>
                            <m:e>
                              <m:r>
                                <w:rPr>
                                  <w:rFonts w:ascii="Cambria Math" w:hAnsi="Cambria Math"/>
                                  <w:szCs w:val="20"/>
                                </w:rPr>
                                <m:t>2</m:t>
                              </m:r>
                              <m:ctrlPr>
                                <w:rPr>
                                  <w:rFonts w:ascii="Cambria Math" w:hAnsi="Cambria Math"/>
                                  <w:sz w:val="16"/>
                                  <w:szCs w:val="20"/>
                                </w:rPr>
                              </m:ctrlPr>
                            </m:e>
                          </m:rad>
                        </m:den>
                      </m:f>
                      <m:d>
                        <m:dPr>
                          <m:begChr m:val="["/>
                          <m:endChr m:val="]"/>
                          <m:ctrlPr>
                            <w:rPr>
                              <w:rFonts w:ascii="Cambria Math" w:hAnsi="Cambria Math"/>
                              <w:i/>
                              <w:kern w:val="2"/>
                              <w:szCs w:val="20"/>
                            </w:rPr>
                          </m:ctrlPr>
                        </m:dPr>
                        <m:e>
                          <m:m>
                            <m:mPr>
                              <m:mcs>
                                <m:mc>
                                  <m:mcPr>
                                    <m:count m:val="1"/>
                                    <m:mcJc m:val="center"/>
                                  </m:mcPr>
                                </m:mc>
                              </m:mcs>
                              <m:ctrlPr>
                                <w:rPr>
                                  <w:rFonts w:ascii="Cambria Math" w:hAnsi="Cambria Math"/>
                                  <w:i/>
                                  <w:kern w:val="2"/>
                                  <w:szCs w:val="20"/>
                                </w:rPr>
                              </m:ctrlPr>
                            </m:mPr>
                            <m:mr>
                              <m:e>
                                <m:r>
                                  <w:rPr>
                                    <w:rFonts w:ascii="Cambria Math" w:hAnsi="Cambria Math"/>
                                    <w:szCs w:val="20"/>
                                  </w:rPr>
                                  <m:t>1</m:t>
                                </m:r>
                                <m:ctrlPr>
                                  <w:rPr>
                                    <w:rFonts w:ascii="Cambria Math" w:hAnsi="Cambria Math"/>
                                    <w:sz w:val="16"/>
                                    <w:szCs w:val="20"/>
                                  </w:rPr>
                                </m:ctrlPr>
                              </m:e>
                            </m:mr>
                            <m:mr>
                              <m:e>
                                <m:r>
                                  <w:rPr>
                                    <w:rFonts w:ascii="Cambria Math" w:hAnsi="Cambria Math"/>
                                    <w:szCs w:val="20"/>
                                  </w:rPr>
                                  <m:t>1</m:t>
                                </m:r>
                                <m:ctrlPr>
                                  <w:rPr>
                                    <w:rFonts w:ascii="Cambria Math" w:hAnsi="Cambria Math"/>
                                    <w:sz w:val="16"/>
                                    <w:szCs w:val="20"/>
                                  </w:rPr>
                                </m:ctrlPr>
                              </m:e>
                            </m:mr>
                            <m:mr>
                              <m:e>
                                <m:r>
                                  <w:rPr>
                                    <w:rFonts w:ascii="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hAnsi="Cambria Math"/>
                                    <w:sz w:val="16"/>
                                    <w:szCs w:val="20"/>
                                  </w:rPr>
                                </m:ctrlP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 w:val="16"/>
                      <w:szCs w:val="16"/>
                    </w:rPr>
                  </w:pPr>
                  <m:oMathPara>
                    <m:oMath>
                      <m:f>
                        <m:fPr>
                          <m:ctrlPr>
                            <w:rPr>
                              <w:rFonts w:ascii="Cambria Math" w:hAnsi="Cambria Math"/>
                              <w:i/>
                              <w:kern w:val="2"/>
                              <w:szCs w:val="20"/>
                            </w:rPr>
                          </m:ctrlPr>
                        </m:fPr>
                        <m:num>
                          <m:r>
                            <w:rPr>
                              <w:rFonts w:ascii="Cambria Math" w:hAnsi="Cambria Math"/>
                              <w:szCs w:val="20"/>
                            </w:rPr>
                            <m:t>1</m:t>
                          </m:r>
                          <m:ctrlPr>
                            <w:rPr>
                              <w:rFonts w:ascii="Cambria Math" w:hAnsi="Cambria Math"/>
                              <w:sz w:val="16"/>
                              <w:szCs w:val="20"/>
                            </w:rPr>
                          </m:ctrlPr>
                        </m:num>
                        <m:den>
                          <m:r>
                            <w:rPr>
                              <w:rFonts w:ascii="Cambria Math" w:hAnsi="Cambria Math"/>
                              <w:szCs w:val="20"/>
                            </w:rPr>
                            <m:t>2</m:t>
                          </m:r>
                          <m:rad>
                            <m:radPr>
                              <m:degHide m:val="1"/>
                              <m:ctrlPr>
                                <w:rPr>
                                  <w:rFonts w:ascii="Cambria Math" w:hAnsi="Cambria Math"/>
                                  <w:i/>
                                  <w:kern w:val="2"/>
                                  <w:szCs w:val="20"/>
                                </w:rPr>
                              </m:ctrlPr>
                            </m:radPr>
                            <m:deg>
                              <m:ctrlPr>
                                <w:rPr>
                                  <w:rFonts w:ascii="Cambria Math" w:hAnsi="Cambria Math"/>
                                  <w:sz w:val="16"/>
                                  <w:szCs w:val="20"/>
                                </w:rPr>
                              </m:ctrlPr>
                            </m:deg>
                            <m:e>
                              <m:r>
                                <w:rPr>
                                  <w:rFonts w:ascii="Cambria Math" w:hAnsi="Cambria Math"/>
                                  <w:szCs w:val="20"/>
                                </w:rPr>
                                <m:t>2</m:t>
                              </m:r>
                              <m:ctrlPr>
                                <w:rPr>
                                  <w:rFonts w:ascii="Cambria Math" w:hAnsi="Cambria Math"/>
                                  <w:sz w:val="16"/>
                                  <w:szCs w:val="20"/>
                                </w:rPr>
                              </m:ctrlPr>
                            </m:e>
                          </m:rad>
                        </m:den>
                      </m:f>
                      <m:d>
                        <m:dPr>
                          <m:begChr m:val="["/>
                          <m:endChr m:val="]"/>
                          <m:ctrlPr>
                            <w:rPr>
                              <w:rFonts w:ascii="Cambria Math" w:hAnsi="Cambria Math"/>
                              <w:i/>
                              <w:kern w:val="2"/>
                              <w:szCs w:val="20"/>
                            </w:rPr>
                          </m:ctrlPr>
                        </m:dPr>
                        <m:e>
                          <m:m>
                            <m:mPr>
                              <m:mcs>
                                <m:mc>
                                  <m:mcPr>
                                    <m:count m:val="2"/>
                                    <m:mcJc m:val="center"/>
                                  </m:mcPr>
                                </m:mc>
                              </m:mcs>
                              <m:ctrlPr>
                                <w:rPr>
                                  <w:rFonts w:ascii="Cambria Math" w:hAnsi="Cambria Math"/>
                                  <w:i/>
                                  <w:kern w:val="2"/>
                                  <w:szCs w:val="20"/>
                                </w:rPr>
                              </m:ctrlPr>
                            </m:mPr>
                            <m:mr>
                              <m:e>
                                <m:r>
                                  <w:rPr>
                                    <w:rFonts w:ascii="Cambria Math" w:hAnsi="Cambria Math"/>
                                    <w:szCs w:val="20"/>
                                  </w:rPr>
                                  <m:t>1</m:t>
                                </m:r>
                                <m:ctrlPr>
                                  <w:rPr>
                                    <w:rFonts w:ascii="Cambria Math" w:eastAsia="Cambria Math" w:hAnsi="Cambria Math"/>
                                    <w:i/>
                                    <w:kern w:val="2"/>
                                    <w:szCs w:val="20"/>
                                  </w:rPr>
                                </m:ctrlPr>
                              </m:e>
                              <m:e>
                                <m:r>
                                  <w:rPr>
                                    <w:rFonts w:ascii="Cambria Math" w:eastAsia="Cambria Math" w:hAnsi="Cambria Math"/>
                                    <w:szCs w:val="20"/>
                                  </w:rPr>
                                  <m:t>0</m:t>
                                </m:r>
                                <m:ctrlPr>
                                  <w:rPr>
                                    <w:rFonts w:ascii="Cambria Math" w:eastAsia="Cambria Math" w:hAnsi="Cambria Math"/>
                                    <w:i/>
                                    <w:kern w:val="2"/>
                                    <w:szCs w:val="20"/>
                                  </w:rPr>
                                </m:ctrlPr>
                              </m:e>
                            </m:mr>
                            <m:mr>
                              <m:e>
                                <m:r>
                                  <w:rPr>
                                    <w:rFonts w:ascii="Cambria Math" w:hAnsi="Cambria Math"/>
                                    <w:szCs w:val="20"/>
                                  </w:rPr>
                                  <m:t>1</m:t>
                                </m:r>
                                <m:ctrlPr>
                                  <w:rPr>
                                    <w:rFonts w:ascii="Cambria Math" w:eastAsia="Cambria Math" w:hAnsi="Cambria Math"/>
                                    <w:i/>
                                    <w:kern w:val="2"/>
                                    <w:szCs w:val="20"/>
                                  </w:rPr>
                                </m:ctrlPr>
                              </m:e>
                              <m:e>
                                <m:r>
                                  <w:rPr>
                                    <w:rFonts w:ascii="Cambria Math" w:eastAsia="Cambria Math" w:hAnsi="Cambria Math"/>
                                    <w:szCs w:val="20"/>
                                  </w:rPr>
                                  <m:t>0</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eastAsia="Cambria Math" w:hAnsi="Cambria Math"/>
                                    <w:i/>
                                    <w:kern w:val="2"/>
                                    <w:szCs w:val="20"/>
                                  </w:rPr>
                                </m:ctrlPr>
                              </m:e>
                            </m:mr>
                            <m:mr>
                              <m:e>
                                <m:r>
                                  <w:rPr>
                                    <w:rFonts w:ascii="Cambria Math" w:hAnsi="Cambria Math"/>
                                    <w:szCs w:val="20"/>
                                  </w:rPr>
                                  <m:t>1</m:t>
                                </m:r>
                                <m:ctrlPr>
                                  <w:rPr>
                                    <w:rFonts w:ascii="Cambria Math" w:eastAsia="Cambria Math" w:hAnsi="Cambria Math"/>
                                    <w:i/>
                                    <w:kern w:val="2"/>
                                    <w:szCs w:val="20"/>
                                  </w:rPr>
                                </m:ctrlPr>
                              </m:e>
                              <m:e>
                                <m:r>
                                  <w:rPr>
                                    <w:rFonts w:ascii="Cambria Math" w:hAnsi="Cambria Math"/>
                                    <w:szCs w:val="20"/>
                                  </w:rPr>
                                  <m:t>0</m:t>
                                </m:r>
                                <m:ctrlPr>
                                  <w:rPr>
                                    <w:rFonts w:ascii="Cambria Math" w:eastAsia="Cambria Math" w:hAnsi="Cambria Math"/>
                                    <w:i/>
                                    <w:kern w:val="2"/>
                                    <w:szCs w:val="20"/>
                                  </w:rPr>
                                </m:ctrlPr>
                              </m:e>
                            </m:mr>
                            <m:mr>
                              <m:e>
                                <m:r>
                                  <w:rPr>
                                    <w:rFonts w:ascii="Cambria Math" w:hAnsi="Cambria Math"/>
                                    <w:szCs w:val="20"/>
                                  </w:rPr>
                                  <m:t>1</m:t>
                                </m:r>
                                <m:ctrlPr>
                                  <w:rPr>
                                    <w:rFonts w:ascii="Cambria Math" w:eastAsia="Cambria Math" w:hAnsi="Cambria Math"/>
                                    <w:i/>
                                    <w:kern w:val="2"/>
                                    <w:szCs w:val="20"/>
                                  </w:rPr>
                                </m:ctrlPr>
                              </m:e>
                              <m:e>
                                <m:r>
                                  <w:rPr>
                                    <w:rFonts w:ascii="Cambria Math" w:hAnsi="Cambria Math"/>
                                    <w:szCs w:val="20"/>
                                  </w:rPr>
                                  <m:t>0</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hAnsi="Cambria Math"/>
                                    <w:sz w:val="16"/>
                                    <w:szCs w:val="20"/>
                                  </w:rPr>
                                </m:ctrlP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None</w:t>
                  </w:r>
                </w:p>
              </w:tc>
            </w:tr>
          </w:tbl>
          <w:p w:rsidR="00AD2F63" w:rsidRDefault="00CC49D7">
            <w:pPr>
              <w:pStyle w:val="ListParagraph"/>
              <w:numPr>
                <w:ilvl w:val="0"/>
                <w:numId w:val="9"/>
              </w:numPr>
              <w:ind w:firstLine="400"/>
              <w:contextualSpacing/>
            </w:pPr>
            <w:r>
              <w:t>FFS other additions</w:t>
            </w:r>
          </w:p>
          <w:p w:rsidR="00AD2F63" w:rsidRDefault="00CC49D7">
            <w:pPr>
              <w:contextualSpacing/>
              <w:rPr>
                <w:b/>
                <w:bCs/>
                <w:szCs w:val="20"/>
                <w:highlight w:val="green"/>
              </w:rPr>
            </w:pPr>
            <w:r>
              <w:rPr>
                <w:b/>
                <w:bCs/>
                <w:szCs w:val="20"/>
                <w:u w:val="single"/>
              </w:rPr>
              <w:lastRenderedPageBreak/>
              <w:t>Agreement</w:t>
            </w:r>
          </w:p>
          <w:p w:rsidR="00AD2F63" w:rsidRDefault="00CC49D7">
            <w:pPr>
              <w:snapToGrid w:val="0"/>
              <w:contextualSpacing/>
              <w:rPr>
                <w:szCs w:val="20"/>
              </w:rPr>
            </w:pPr>
            <w:r>
              <w:rPr>
                <w:szCs w:val="20"/>
              </w:rPr>
              <w:t xml:space="preserve">For an 8TX UE, with Ng=8, configured for full power transmission with ‘fullpowerMode1’, at </w:t>
            </w:r>
            <w:r>
              <w:rPr>
                <w:szCs w:val="20"/>
              </w:rPr>
              <w:t>least following precoders are supported,</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019"/>
              <w:gridCol w:w="2058"/>
              <w:gridCol w:w="2048"/>
              <w:gridCol w:w="1770"/>
            </w:tblGrid>
            <w:tr w:rsidR="00AD2F63">
              <w:tc>
                <w:tcPr>
                  <w:tcW w:w="2019"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Rank 4</w:t>
                  </w:r>
                </w:p>
              </w:tc>
            </w:tr>
            <w:tr w:rsidR="00AD2F63">
              <w:tc>
                <w:tcPr>
                  <w:tcW w:w="2019"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 w:val="16"/>
                      <w:szCs w:val="16"/>
                    </w:rPr>
                  </w:pPr>
                  <m:oMathPara>
                    <m:oMath>
                      <m:f>
                        <m:fPr>
                          <m:ctrlPr>
                            <w:rPr>
                              <w:rFonts w:ascii="Cambria Math" w:hAnsi="Cambria Math"/>
                              <w:i/>
                              <w:kern w:val="2"/>
                              <w:szCs w:val="20"/>
                            </w:rPr>
                          </m:ctrlPr>
                        </m:fPr>
                        <m:num>
                          <m:r>
                            <w:rPr>
                              <w:rFonts w:ascii="Cambria Math" w:hAnsi="Cambria Math"/>
                              <w:szCs w:val="20"/>
                            </w:rPr>
                            <m:t>1</m:t>
                          </m:r>
                          <m:ctrlPr>
                            <w:rPr>
                              <w:rFonts w:ascii="Cambria Math" w:hAnsi="Cambria Math"/>
                              <w:sz w:val="16"/>
                              <w:szCs w:val="20"/>
                            </w:rPr>
                          </m:ctrlPr>
                        </m:num>
                        <m:den>
                          <m:r>
                            <w:rPr>
                              <w:rFonts w:ascii="Cambria Math" w:hAnsi="Cambria Math"/>
                              <w:szCs w:val="20"/>
                            </w:rPr>
                            <m:t>2</m:t>
                          </m:r>
                          <m:rad>
                            <m:radPr>
                              <m:degHide m:val="1"/>
                              <m:ctrlPr>
                                <w:rPr>
                                  <w:rFonts w:ascii="Cambria Math" w:hAnsi="Cambria Math"/>
                                  <w:i/>
                                  <w:kern w:val="2"/>
                                  <w:szCs w:val="20"/>
                                </w:rPr>
                              </m:ctrlPr>
                            </m:radPr>
                            <m:deg>
                              <m:ctrlPr>
                                <w:rPr>
                                  <w:rFonts w:ascii="Cambria Math" w:hAnsi="Cambria Math"/>
                                  <w:sz w:val="16"/>
                                  <w:szCs w:val="20"/>
                                </w:rPr>
                              </m:ctrlPr>
                            </m:deg>
                            <m:e>
                              <m:r>
                                <w:rPr>
                                  <w:rFonts w:ascii="Cambria Math" w:hAnsi="Cambria Math"/>
                                  <w:szCs w:val="20"/>
                                </w:rPr>
                                <m:t>2</m:t>
                              </m:r>
                              <m:ctrlPr>
                                <w:rPr>
                                  <w:rFonts w:ascii="Cambria Math" w:hAnsi="Cambria Math"/>
                                  <w:sz w:val="16"/>
                                  <w:szCs w:val="20"/>
                                </w:rPr>
                              </m:ctrlPr>
                            </m:e>
                          </m:rad>
                        </m:den>
                      </m:f>
                      <m:d>
                        <m:dPr>
                          <m:begChr m:val="["/>
                          <m:endChr m:val="]"/>
                          <m:ctrlPr>
                            <w:rPr>
                              <w:rFonts w:ascii="Cambria Math" w:hAnsi="Cambria Math"/>
                              <w:i/>
                              <w:kern w:val="2"/>
                              <w:szCs w:val="20"/>
                            </w:rPr>
                          </m:ctrlPr>
                        </m:dPr>
                        <m:e>
                          <m:m>
                            <m:mPr>
                              <m:mcs>
                                <m:mc>
                                  <m:mcPr>
                                    <m:count m:val="1"/>
                                    <m:mcJc m:val="center"/>
                                  </m:mcPr>
                                </m:mc>
                              </m:mcs>
                              <m:ctrlPr>
                                <w:rPr>
                                  <w:rFonts w:ascii="Cambria Math" w:hAnsi="Cambria Math"/>
                                  <w:i/>
                                  <w:kern w:val="2"/>
                                  <w:szCs w:val="20"/>
                                </w:rPr>
                              </m:ctrlPr>
                            </m:mPr>
                            <m:mr>
                              <m:e>
                                <m:r>
                                  <w:rPr>
                                    <w:rFonts w:ascii="Cambria Math" w:hAnsi="Cambria Math"/>
                                    <w:szCs w:val="20"/>
                                  </w:rPr>
                                  <m:t>1</m:t>
                                </m:r>
                                <m:ctrlPr>
                                  <w:rPr>
                                    <w:rFonts w:ascii="Cambria Math" w:hAnsi="Cambria Math"/>
                                    <w:sz w:val="16"/>
                                    <w:szCs w:val="20"/>
                                  </w:rPr>
                                </m:ctrlPr>
                              </m:e>
                            </m:mr>
                            <m:mr>
                              <m:e>
                                <m:r>
                                  <w:rPr>
                                    <w:rFonts w:ascii="Cambria Math" w:hAnsi="Cambria Math"/>
                                    <w:szCs w:val="20"/>
                                  </w:rPr>
                                  <m:t>1</m:t>
                                </m:r>
                                <m:ctrlPr>
                                  <w:rPr>
                                    <w:rFonts w:ascii="Cambria Math" w:hAnsi="Cambria Math"/>
                                    <w:sz w:val="16"/>
                                    <w:szCs w:val="20"/>
                                  </w:rPr>
                                </m:ctrlPr>
                              </m:e>
                            </m:mr>
                            <m:mr>
                              <m:e>
                                <m:r>
                                  <w:rPr>
                                    <w:rFonts w:ascii="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eastAsia="Cambria Math" w:hAnsi="Cambria Math"/>
                                    <w:i/>
                                    <w:kern w:val="2"/>
                                    <w:szCs w:val="20"/>
                                  </w:rPr>
                                </m:ctrlPr>
                              </m:e>
                            </m:mr>
                            <m:mr>
                              <m:e>
                                <m:r>
                                  <w:rPr>
                                    <w:rFonts w:ascii="Cambria Math" w:eastAsia="Cambria Math" w:hAnsi="Cambria Math"/>
                                    <w:szCs w:val="20"/>
                                  </w:rPr>
                                  <m:t>1</m:t>
                                </m:r>
                                <m:ctrlPr>
                                  <w:rPr>
                                    <w:rFonts w:ascii="Cambria Math" w:hAnsi="Cambria Math"/>
                                    <w:sz w:val="16"/>
                                    <w:szCs w:val="20"/>
                                  </w:rPr>
                                </m:ctrlP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 w:val="16"/>
                      <w:szCs w:val="16"/>
                    </w:rPr>
                  </w:pPr>
                  <m:oMathPara>
                    <m:oMath>
                      <m:f>
                        <m:fPr>
                          <m:ctrlPr>
                            <w:rPr>
                              <w:rFonts w:ascii="Cambria Math" w:hAnsi="Cambria Math"/>
                              <w:i/>
                              <w:kern w:val="2"/>
                              <w:szCs w:val="20"/>
                            </w:rPr>
                          </m:ctrlPr>
                        </m:fPr>
                        <m:num>
                          <m:r>
                            <w:rPr>
                              <w:rFonts w:ascii="Cambria Math" w:hAnsi="Cambria Math"/>
                              <w:szCs w:val="20"/>
                            </w:rPr>
                            <m:t>1</m:t>
                          </m:r>
                          <m:ctrlPr>
                            <w:rPr>
                              <w:rFonts w:ascii="Cambria Math" w:hAnsi="Cambria Math"/>
                              <w:sz w:val="16"/>
                              <w:szCs w:val="20"/>
                            </w:rPr>
                          </m:ctrlPr>
                        </m:num>
                        <m:den>
                          <m:r>
                            <w:rPr>
                              <w:rFonts w:ascii="Cambria Math" w:hAnsi="Cambria Math"/>
                              <w:szCs w:val="20"/>
                            </w:rPr>
                            <m:t>2</m:t>
                          </m:r>
                          <m:rad>
                            <m:radPr>
                              <m:degHide m:val="1"/>
                              <m:ctrlPr>
                                <w:rPr>
                                  <w:rFonts w:ascii="Cambria Math" w:hAnsi="Cambria Math"/>
                                  <w:i/>
                                  <w:kern w:val="2"/>
                                  <w:szCs w:val="20"/>
                                </w:rPr>
                              </m:ctrlPr>
                            </m:radPr>
                            <m:deg>
                              <m:ctrlPr>
                                <w:rPr>
                                  <w:rFonts w:ascii="Cambria Math" w:hAnsi="Cambria Math"/>
                                  <w:sz w:val="16"/>
                                  <w:szCs w:val="20"/>
                                </w:rPr>
                              </m:ctrlPr>
                            </m:deg>
                            <m:e>
                              <m:r>
                                <w:rPr>
                                  <w:rFonts w:ascii="Cambria Math" w:hAnsi="Cambria Math"/>
                                  <w:szCs w:val="20"/>
                                </w:rPr>
                                <m:t>2</m:t>
                              </m:r>
                              <m:ctrlPr>
                                <w:rPr>
                                  <w:rFonts w:ascii="Cambria Math" w:hAnsi="Cambria Math"/>
                                  <w:sz w:val="16"/>
                                  <w:szCs w:val="20"/>
                                </w:rPr>
                              </m:ctrlPr>
                            </m:e>
                          </m:rad>
                        </m:den>
                      </m:f>
                      <m:d>
                        <m:dPr>
                          <m:begChr m:val="["/>
                          <m:endChr m:val="]"/>
                          <m:ctrlPr>
                            <w:rPr>
                              <w:rFonts w:ascii="Cambria Math" w:hAnsi="Cambria Math"/>
                              <w:i/>
                              <w:kern w:val="2"/>
                              <w:szCs w:val="20"/>
                            </w:rPr>
                          </m:ctrlPr>
                        </m:dPr>
                        <m:e>
                          <m:m>
                            <m:mPr>
                              <m:mcs>
                                <m:mc>
                                  <m:mcPr>
                                    <m:count m:val="2"/>
                                    <m:mcJc m:val="center"/>
                                  </m:mcPr>
                                </m:mc>
                              </m:mcs>
                              <m:ctrlPr>
                                <w:rPr>
                                  <w:rFonts w:ascii="Cambria Math" w:hAnsi="Cambria Math"/>
                                  <w:i/>
                                  <w:kern w:val="2"/>
                                  <w:szCs w:val="20"/>
                                </w:rPr>
                              </m:ctrlPr>
                            </m:mPr>
                            <m:mr>
                              <m:e>
                                <m:r>
                                  <w:rPr>
                                    <w:rFonts w:ascii="Cambria Math" w:hAnsi="Cambria Math"/>
                                    <w:szCs w:val="20"/>
                                  </w:rPr>
                                  <m:t>1</m:t>
                                </m:r>
                                <m:ctrlPr>
                                  <w:rPr>
                                    <w:rFonts w:ascii="Cambria Math" w:eastAsia="Cambria Math" w:hAnsi="Cambria Math"/>
                                    <w:i/>
                                    <w:kern w:val="2"/>
                                    <w:szCs w:val="20"/>
                                  </w:rPr>
                                </m:ctrlPr>
                              </m:e>
                              <m:e>
                                <m:r>
                                  <w:rPr>
                                    <w:rFonts w:ascii="Cambria Math" w:eastAsia="Cambria Math" w:hAnsi="Cambria Math"/>
                                    <w:szCs w:val="20"/>
                                  </w:rPr>
                                  <m:t>0</m:t>
                                </m:r>
                                <m:ctrlPr>
                                  <w:rPr>
                                    <w:rFonts w:ascii="Cambria Math" w:eastAsia="Cambria Math" w:hAnsi="Cambria Math"/>
                                    <w:i/>
                                    <w:kern w:val="2"/>
                                    <w:szCs w:val="20"/>
                                  </w:rPr>
                                </m:ctrlPr>
                              </m:e>
                            </m:mr>
                            <m:mr>
                              <m:e>
                                <m:r>
                                  <w:rPr>
                                    <w:rFonts w:ascii="Cambria Math" w:hAnsi="Cambria Math"/>
                                    <w:szCs w:val="20"/>
                                  </w:rPr>
                                  <m:t>1</m:t>
                                </m:r>
                                <m:ctrlPr>
                                  <w:rPr>
                                    <w:rFonts w:ascii="Cambria Math" w:eastAsia="Cambria Math" w:hAnsi="Cambria Math"/>
                                    <w:i/>
                                    <w:kern w:val="2"/>
                                    <w:szCs w:val="20"/>
                                  </w:rPr>
                                </m:ctrlPr>
                              </m:e>
                              <m:e>
                                <m:r>
                                  <w:rPr>
                                    <w:rFonts w:ascii="Cambria Math" w:eastAsia="Cambria Math" w:hAnsi="Cambria Math"/>
                                    <w:szCs w:val="20"/>
                                  </w:rPr>
                                  <m:t>0</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eastAsia="Cambria Math" w:hAnsi="Cambria Math"/>
                                    <w:i/>
                                    <w:kern w:val="2"/>
                                    <w:szCs w:val="20"/>
                                  </w:rPr>
                                </m:ctrlPr>
                              </m:e>
                            </m:mr>
                            <m:mr>
                              <m:e>
                                <m:r>
                                  <w:rPr>
                                    <w:rFonts w:ascii="Cambria Math" w:hAnsi="Cambria Math"/>
                                    <w:szCs w:val="20"/>
                                  </w:rPr>
                                  <m:t>1</m:t>
                                </m:r>
                                <m:ctrlPr>
                                  <w:rPr>
                                    <w:rFonts w:ascii="Cambria Math" w:eastAsia="Cambria Math" w:hAnsi="Cambria Math"/>
                                    <w:i/>
                                    <w:kern w:val="2"/>
                                    <w:szCs w:val="20"/>
                                  </w:rPr>
                                </m:ctrlPr>
                              </m:e>
                              <m:e>
                                <m:r>
                                  <w:rPr>
                                    <w:rFonts w:ascii="Cambria Math" w:hAnsi="Cambria Math"/>
                                    <w:szCs w:val="20"/>
                                  </w:rPr>
                                  <m:t>0</m:t>
                                </m:r>
                                <m:ctrlPr>
                                  <w:rPr>
                                    <w:rFonts w:ascii="Cambria Math" w:eastAsia="Cambria Math" w:hAnsi="Cambria Math"/>
                                    <w:i/>
                                    <w:kern w:val="2"/>
                                    <w:szCs w:val="20"/>
                                  </w:rPr>
                                </m:ctrlPr>
                              </m:e>
                            </m:mr>
                            <m:mr>
                              <m:e>
                                <m:r>
                                  <w:rPr>
                                    <w:rFonts w:ascii="Cambria Math" w:hAnsi="Cambria Math"/>
                                    <w:szCs w:val="20"/>
                                  </w:rPr>
                                  <m:t>1</m:t>
                                </m:r>
                                <m:ctrlPr>
                                  <w:rPr>
                                    <w:rFonts w:ascii="Cambria Math" w:eastAsia="Cambria Math" w:hAnsi="Cambria Math"/>
                                    <w:i/>
                                    <w:kern w:val="2"/>
                                    <w:szCs w:val="20"/>
                                  </w:rPr>
                                </m:ctrlPr>
                              </m:e>
                              <m:e>
                                <m:r>
                                  <w:rPr>
                                    <w:rFonts w:ascii="Cambria Math" w:hAnsi="Cambria Math"/>
                                    <w:szCs w:val="20"/>
                                  </w:rPr>
                                  <m:t>0</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eastAsia="Cambria Math" w:hAnsi="Cambria Math"/>
                                    <w:i/>
                                    <w:kern w:val="2"/>
                                    <w:szCs w:val="20"/>
                                  </w:rPr>
                                </m:ctrlPr>
                              </m:e>
                            </m:mr>
                            <m:mr>
                              <m:e>
                                <m:r>
                                  <w:rPr>
                                    <w:rFonts w:ascii="Cambria Math" w:hAnsi="Cambria Math"/>
                                    <w:szCs w:val="20"/>
                                  </w:rPr>
                                  <m:t>0</m:t>
                                </m:r>
                                <m:ctrlPr>
                                  <w:rPr>
                                    <w:rFonts w:ascii="Cambria Math" w:eastAsia="Cambria Math" w:hAnsi="Cambria Math"/>
                                    <w:i/>
                                    <w:kern w:val="2"/>
                                    <w:szCs w:val="20"/>
                                  </w:rPr>
                                </m:ctrlPr>
                              </m:e>
                              <m:e>
                                <m:r>
                                  <w:rPr>
                                    <w:rFonts w:ascii="Cambria Math" w:hAnsi="Cambria Math"/>
                                    <w:szCs w:val="20"/>
                                  </w:rPr>
                                  <m:t>1</m:t>
                                </m:r>
                                <m:ctrlPr>
                                  <w:rPr>
                                    <w:rFonts w:ascii="Cambria Math" w:hAnsi="Cambria Math"/>
                                    <w:sz w:val="16"/>
                                    <w:szCs w:val="20"/>
                                  </w:rPr>
                                </m:ctrlP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contextualSpacing/>
                    <w:rPr>
                      <w:rFonts w:eastAsia="Malgun Gothic"/>
                      <w:szCs w:val="20"/>
                    </w:rPr>
                  </w:pPr>
                  <w:r>
                    <w:rPr>
                      <w:rFonts w:eastAsia="Malgun Gothic"/>
                      <w:szCs w:val="20"/>
                    </w:rPr>
                    <w:t>FFS</w:t>
                  </w:r>
                </w:p>
              </w:tc>
            </w:tr>
          </w:tbl>
          <w:p w:rsidR="00AD2F63" w:rsidRDefault="00CC49D7">
            <w:pPr>
              <w:pStyle w:val="ListParagraph"/>
              <w:numPr>
                <w:ilvl w:val="0"/>
                <w:numId w:val="9"/>
              </w:numPr>
              <w:ind w:firstLine="400"/>
              <w:contextualSpacing/>
              <w:rPr>
                <w:kern w:val="2"/>
              </w:rPr>
            </w:pPr>
            <w:r>
              <w:t>FFS other additions</w:t>
            </w:r>
          </w:p>
          <w:p w:rsidR="00AD2F63" w:rsidRDefault="00CC49D7">
            <w:pPr>
              <w:pStyle w:val="ListParagraph"/>
              <w:numPr>
                <w:ilvl w:val="0"/>
                <w:numId w:val="9"/>
              </w:numPr>
              <w:ind w:firstLine="400"/>
              <w:contextualSpacing/>
              <w:rPr>
                <w:rFonts w:ascii="New York" w:eastAsia="宋体" w:hAnsi="New York"/>
              </w:rPr>
            </w:pPr>
            <w:r>
              <w:t>Precoders for rank&gt;4 are not introduced in Rel-18</w:t>
            </w:r>
          </w:p>
          <w:p w:rsidR="00AD2F63" w:rsidRDefault="00CC49D7">
            <w:pPr>
              <w:snapToGrid w:val="0"/>
              <w:contextualSpacing/>
              <w:jc w:val="both"/>
              <w:rPr>
                <w:b/>
                <w:bCs/>
                <w:szCs w:val="20"/>
                <w:highlight w:val="green"/>
              </w:rPr>
            </w:pPr>
            <w:r>
              <w:rPr>
                <w:b/>
                <w:bCs/>
                <w:szCs w:val="20"/>
                <w:u w:val="single"/>
              </w:rPr>
              <w:t>Agreement</w:t>
            </w:r>
          </w:p>
          <w:p w:rsidR="00AD2F63" w:rsidRDefault="00CC49D7">
            <w:pPr>
              <w:contextualSpacing/>
            </w:pPr>
            <w:r>
              <w:t xml:space="preserve">For an 8TX UE, with Ng=4 and Ng=8, configured for full power </w:t>
            </w:r>
            <w:r>
              <w:t>transmission with ‘fullpowerMode1’</w:t>
            </w:r>
            <w:r>
              <w:rPr>
                <w:strike/>
              </w:rPr>
              <w:t>, at least</w:t>
            </w:r>
            <w:r>
              <w:t xml:space="preserve"> following precoders are supported per rank,</w:t>
            </w:r>
          </w:p>
          <w:p w:rsidR="00AD2F63" w:rsidRDefault="00CC49D7">
            <w:pPr>
              <w:contextualSpacing/>
              <w:rPr>
                <w:rFonts w:ascii="New York" w:eastAsia="宋体" w:hAnsi="New York"/>
              </w:rPr>
            </w:pPr>
            <m:oMathPara>
              <m:oMath>
                <m:f>
                  <m:fPr>
                    <m:ctrlPr>
                      <w:rPr>
                        <w:rFonts w:ascii="Cambria Math" w:hAnsi="Cambria Math"/>
                        <w:kern w:val="2"/>
                        <w:sz w:val="22"/>
                        <w:lang w:eastAsia="ja-JP"/>
                      </w:rPr>
                    </m:ctrlPr>
                  </m:fPr>
                  <m:num>
                    <m:r>
                      <m:rPr>
                        <m:sty m:val="p"/>
                      </m:rPr>
                      <w:rPr>
                        <w:rFonts w:ascii="Cambria Math" w:hAnsi="Cambria Math"/>
                        <w:kern w:val="2"/>
                      </w:rPr>
                      <m:t>1</m:t>
                    </m:r>
                  </m:num>
                  <m:den>
                    <m:r>
                      <m:rPr>
                        <m:sty m:val="p"/>
                      </m:rPr>
                      <w:rPr>
                        <w:rFonts w:ascii="Cambria Math" w:hAnsi="Cambria Math"/>
                        <w:kern w:val="2"/>
                      </w:rPr>
                      <m:t>2</m:t>
                    </m:r>
                    <m:rad>
                      <m:radPr>
                        <m:degHide m:val="1"/>
                        <m:ctrlPr>
                          <w:rPr>
                            <w:rFonts w:ascii="Cambria Math" w:hAnsi="Cambria Math"/>
                            <w:kern w:val="2"/>
                            <w:sz w:val="22"/>
                            <w:lang w:eastAsia="ja-JP"/>
                          </w:rPr>
                        </m:ctrlPr>
                      </m:radPr>
                      <m:deg/>
                      <m:e>
                        <m:r>
                          <m:rPr>
                            <m:sty m:val="p"/>
                          </m:rPr>
                          <w:rPr>
                            <w:rFonts w:ascii="Cambria Math" w:hAnsi="Cambria Math"/>
                            <w:kern w:val="2"/>
                          </w:rPr>
                          <m:t>2</m:t>
                        </m:r>
                      </m:e>
                    </m:rad>
                  </m:den>
                </m:f>
                <m:d>
                  <m:dPr>
                    <m:begChr m:val="["/>
                    <m:endChr m:val="]"/>
                    <m:ctrlPr>
                      <w:rPr>
                        <w:rFonts w:ascii="Cambria Math" w:hAnsi="Cambria Math"/>
                        <w:i/>
                        <w:iCs/>
                        <w:kern w:val="2"/>
                        <w:sz w:val="22"/>
                        <w:lang w:eastAsia="ja-JP"/>
                      </w:rPr>
                    </m:ctrlPr>
                  </m:dPr>
                  <m:e>
                    <m:m>
                      <m:mPr>
                        <m:mcs>
                          <m:mc>
                            <m:mcPr>
                              <m:count m:val="3"/>
                              <m:mcJc m:val="center"/>
                            </m:mcPr>
                          </m:mc>
                        </m:mcs>
                        <m:ctrlPr>
                          <w:rPr>
                            <w:rFonts w:ascii="Cambria Math" w:hAnsi="Cambria Math"/>
                            <w:i/>
                            <w:iCs/>
                            <w:kern w:val="2"/>
                            <w:sz w:val="22"/>
                            <w:lang w:eastAsia="ja-JP"/>
                          </w:rPr>
                        </m:ctrlPr>
                      </m:mPr>
                      <m:mr>
                        <m:e>
                          <m:r>
                            <w:rPr>
                              <w:rFonts w:ascii="Cambria Math" w:hAnsi="Cambria Math"/>
                              <w:kern w:val="2"/>
                            </w:rPr>
                            <m:t>1</m:t>
                          </m:r>
                        </m:e>
                        <m:e>
                          <m:r>
                            <w:rPr>
                              <w:rFonts w:ascii="Cambria Math" w:hAnsi="Cambria Math"/>
                              <w:kern w:val="2"/>
                            </w:rPr>
                            <m:t>0</m:t>
                          </m:r>
                        </m:e>
                        <m:e>
                          <m:r>
                            <w:rPr>
                              <w:rFonts w:ascii="Cambria Math" w:hAnsi="Cambria Math"/>
                              <w:kern w:val="2"/>
                            </w:rPr>
                            <m:t>0</m:t>
                          </m:r>
                        </m:e>
                      </m:mr>
                      <m:mr>
                        <m:e>
                          <m:r>
                            <w:rPr>
                              <w:rFonts w:ascii="Cambria Math" w:hAnsi="Cambria Math"/>
                              <w:kern w:val="2"/>
                            </w:rPr>
                            <m:t>1</m:t>
                          </m:r>
                        </m:e>
                        <m:e>
                          <m:r>
                            <w:rPr>
                              <w:rFonts w:ascii="Cambria Math" w:hAnsi="Cambria Math"/>
                              <w:kern w:val="2"/>
                            </w:rPr>
                            <m:t>0</m:t>
                          </m:r>
                        </m:e>
                        <m:e>
                          <m:r>
                            <w:rPr>
                              <w:rFonts w:ascii="Cambria Math" w:hAnsi="Cambria Math"/>
                              <w:kern w:val="2"/>
                            </w:rPr>
                            <m:t>0</m:t>
                          </m:r>
                        </m:e>
                      </m:mr>
                      <m:mr>
                        <m:e>
                          <m:r>
                            <w:rPr>
                              <w:rFonts w:ascii="Cambria Math" w:hAnsi="Cambria Math"/>
                              <w:kern w:val="2"/>
                            </w:rPr>
                            <m:t>0</m:t>
                          </m:r>
                        </m:e>
                        <m:e>
                          <m:r>
                            <w:rPr>
                              <w:rFonts w:ascii="Cambria Math" w:hAnsi="Cambria Math"/>
                              <w:kern w:val="2"/>
                            </w:rPr>
                            <m:t>1</m:t>
                          </m:r>
                        </m:e>
                        <m:e>
                          <m:r>
                            <w:rPr>
                              <w:rFonts w:ascii="Cambria Math" w:hAnsi="Cambria Math"/>
                              <w:kern w:val="2"/>
                            </w:rPr>
                            <m:t>0</m:t>
                          </m:r>
                        </m:e>
                      </m:mr>
                      <m:mr>
                        <m:e>
                          <m:r>
                            <w:rPr>
                              <w:rFonts w:ascii="Cambria Math" w:hAnsi="Cambria Math"/>
                              <w:kern w:val="2"/>
                            </w:rPr>
                            <m:t>0</m:t>
                          </m:r>
                        </m:e>
                        <m:e>
                          <m:r>
                            <w:rPr>
                              <w:rFonts w:ascii="Cambria Math" w:hAnsi="Cambria Math"/>
                              <w:kern w:val="2"/>
                            </w:rPr>
                            <m:t>0</m:t>
                          </m:r>
                        </m:e>
                        <m:e>
                          <m:r>
                            <w:rPr>
                              <w:rFonts w:ascii="Cambria Math" w:hAnsi="Cambria Math"/>
                              <w:kern w:val="2"/>
                            </w:rPr>
                            <m:t>1</m:t>
                          </m:r>
                        </m:e>
                      </m:mr>
                      <m:mr>
                        <m:e>
                          <m:r>
                            <w:rPr>
                              <w:rFonts w:ascii="Cambria Math" w:hAnsi="Cambria Math"/>
                              <w:kern w:val="2"/>
                            </w:rPr>
                            <m:t>1</m:t>
                          </m:r>
                        </m:e>
                        <m:e>
                          <m:r>
                            <w:rPr>
                              <w:rFonts w:ascii="Cambria Math" w:hAnsi="Cambria Math"/>
                              <w:kern w:val="2"/>
                            </w:rPr>
                            <m:t>0</m:t>
                          </m:r>
                        </m:e>
                        <m:e>
                          <m:r>
                            <w:rPr>
                              <w:rFonts w:ascii="Cambria Math" w:hAnsi="Cambria Math"/>
                              <w:kern w:val="2"/>
                            </w:rPr>
                            <m:t>0</m:t>
                          </m:r>
                        </m:e>
                      </m:mr>
                      <m:mr>
                        <m:e>
                          <m:r>
                            <w:rPr>
                              <w:rFonts w:ascii="Cambria Math" w:hAnsi="Cambria Math"/>
                              <w:kern w:val="2"/>
                            </w:rPr>
                            <m:t>1</m:t>
                          </m:r>
                        </m:e>
                        <m:e>
                          <m:r>
                            <w:rPr>
                              <w:rFonts w:ascii="Cambria Math" w:hAnsi="Cambria Math"/>
                              <w:kern w:val="2"/>
                            </w:rPr>
                            <m:t>0</m:t>
                          </m:r>
                        </m:e>
                        <m:e>
                          <m:r>
                            <w:rPr>
                              <w:rFonts w:ascii="Cambria Math" w:hAnsi="Cambria Math"/>
                              <w:kern w:val="2"/>
                            </w:rPr>
                            <m:t>0</m:t>
                          </m:r>
                        </m:e>
                      </m:mr>
                      <m:mr>
                        <m:e>
                          <m:r>
                            <w:rPr>
                              <w:rFonts w:ascii="Cambria Math" w:hAnsi="Cambria Math"/>
                              <w:kern w:val="2"/>
                            </w:rPr>
                            <m:t>0</m:t>
                          </m:r>
                        </m:e>
                        <m:e>
                          <m:r>
                            <w:rPr>
                              <w:rFonts w:ascii="Cambria Math" w:hAnsi="Cambria Math"/>
                              <w:kern w:val="2"/>
                            </w:rPr>
                            <m:t>1</m:t>
                          </m:r>
                        </m:e>
                        <m:e>
                          <m:r>
                            <w:rPr>
                              <w:rFonts w:ascii="Cambria Math" w:hAnsi="Cambria Math"/>
                              <w:kern w:val="2"/>
                            </w:rPr>
                            <m:t>0</m:t>
                          </m:r>
                        </m:e>
                      </m:mr>
                      <m:mr>
                        <m:e>
                          <m:r>
                            <w:rPr>
                              <w:rFonts w:ascii="Cambria Math" w:hAnsi="Cambria Math"/>
                              <w:kern w:val="2"/>
                            </w:rPr>
                            <m:t>0</m:t>
                          </m:r>
                        </m:e>
                        <m:e>
                          <m:r>
                            <w:rPr>
                              <w:rFonts w:ascii="Cambria Math" w:hAnsi="Cambria Math"/>
                              <w:kern w:val="2"/>
                            </w:rPr>
                            <m:t>0</m:t>
                          </m:r>
                        </m:e>
                        <m:e>
                          <m:r>
                            <w:rPr>
                              <w:rFonts w:ascii="Cambria Math" w:hAnsi="Cambria Math"/>
                              <w:kern w:val="2"/>
                            </w:rPr>
                            <m:t>1</m:t>
                          </m:r>
                        </m:e>
                      </m:mr>
                    </m:m>
                  </m:e>
                </m:d>
              </m:oMath>
            </m:oMathPara>
          </w:p>
        </w:tc>
      </w:tr>
    </w:tbl>
    <w:p w:rsidR="00AD2F63" w:rsidRDefault="00CC49D7">
      <w:pPr>
        <w:pStyle w:val="ListParagraph"/>
        <w:snapToGrid w:val="0"/>
        <w:spacing w:beforeLines="30" w:before="72" w:afterLines="30" w:after="72" w:line="288" w:lineRule="auto"/>
        <w:ind w:firstLineChars="0" w:firstLine="0"/>
        <w:jc w:val="both"/>
        <w:rPr>
          <w:rFonts w:eastAsia="宋体"/>
        </w:rPr>
      </w:pPr>
      <w:r>
        <w:rPr>
          <w:rFonts w:eastAsia="宋体" w:hint="eastAsia"/>
        </w:rPr>
        <w:lastRenderedPageBreak/>
        <w:t xml:space="preserve">In our opinion, we can introduce as less extended full power precoders as possible. </w:t>
      </w:r>
    </w:p>
    <w:p w:rsidR="00AD2F63" w:rsidRDefault="00CC49D7">
      <w:pPr>
        <w:numPr>
          <w:ilvl w:val="0"/>
          <w:numId w:val="10"/>
        </w:numPr>
        <w:snapToGrid w:val="0"/>
        <w:spacing w:beforeLines="30" w:before="72" w:afterLines="30" w:after="72" w:line="288" w:lineRule="auto"/>
        <w:ind w:left="800" w:hanging="400"/>
        <w:jc w:val="both"/>
        <w:rPr>
          <w:rFonts w:eastAsia="宋体"/>
        </w:rPr>
      </w:pPr>
      <w:r>
        <w:rPr>
          <w:rFonts w:eastAsia="宋体" w:hint="eastAsia"/>
        </w:rPr>
        <w:t>For Ng=2, one additional precoder as agreed is enough</w:t>
      </w:r>
      <w:r>
        <w:rPr>
          <w:rFonts w:eastAsia="宋体" w:hint="eastAsia"/>
        </w:rPr>
        <w:t>, and no more precoders are needed.</w:t>
      </w:r>
    </w:p>
    <w:p w:rsidR="00AD2F63" w:rsidRDefault="00CC49D7">
      <w:pPr>
        <w:numPr>
          <w:ilvl w:val="0"/>
          <w:numId w:val="10"/>
        </w:numPr>
        <w:snapToGrid w:val="0"/>
        <w:spacing w:beforeLines="30" w:before="72" w:afterLines="30" w:after="72" w:line="288" w:lineRule="auto"/>
        <w:ind w:left="800" w:hanging="400"/>
        <w:jc w:val="both"/>
        <w:rPr>
          <w:rFonts w:eastAsia="宋体"/>
        </w:rPr>
      </w:pPr>
      <w:r>
        <w:rPr>
          <w:rFonts w:eastAsia="宋体" w:hint="eastAsia"/>
        </w:rPr>
        <w:t xml:space="preserve">For Ng=4, supporting one full power precoder for each of rank 1, 2 and 3 is enough, and no more precoders are needed. </w:t>
      </w:r>
    </w:p>
    <w:p w:rsidR="00AD2F63" w:rsidRDefault="00CC49D7">
      <w:pPr>
        <w:numPr>
          <w:ilvl w:val="0"/>
          <w:numId w:val="10"/>
        </w:numPr>
        <w:snapToGrid w:val="0"/>
        <w:spacing w:beforeLines="30" w:before="72" w:afterLines="30" w:after="72" w:line="288" w:lineRule="auto"/>
        <w:ind w:left="800" w:hanging="400"/>
        <w:jc w:val="both"/>
        <w:rPr>
          <w:rFonts w:eastAsia="宋体"/>
        </w:rPr>
      </w:pPr>
      <w:r>
        <w:rPr>
          <w:rFonts w:eastAsia="宋体" w:hint="eastAsia"/>
        </w:rPr>
        <w:t>For Ng=8, only rank 1, rank 2 and rank 3 can support full power precoders as agreed, and no more prec</w:t>
      </w:r>
      <w:r>
        <w:rPr>
          <w:rFonts w:eastAsia="宋体" w:hint="eastAsia"/>
        </w:rPr>
        <w:t xml:space="preserve">oders are needed for such ranks. As for rank 4-7, no full power precoders have been supported so far. We suggest to introduce one full power precoder for rank 4, and do not introduce full power </w:t>
      </w:r>
      <w:proofErr w:type="spellStart"/>
      <w:r>
        <w:rPr>
          <w:rFonts w:eastAsia="宋体" w:hint="eastAsia"/>
        </w:rPr>
        <w:t>percoder</w:t>
      </w:r>
      <w:proofErr w:type="spellEnd"/>
      <w:r>
        <w:rPr>
          <w:rFonts w:eastAsia="宋体" w:hint="eastAsia"/>
        </w:rPr>
        <w:t xml:space="preserve"> for rank&gt;4. </w:t>
      </w:r>
    </w:p>
    <w:p w:rsidR="00AD2F63" w:rsidRDefault="00CC49D7">
      <w:pPr>
        <w:pStyle w:val="ListParagraph"/>
        <w:snapToGrid w:val="0"/>
        <w:spacing w:beforeLines="30" w:before="72" w:afterLines="30" w:after="72" w:line="288" w:lineRule="auto"/>
        <w:ind w:firstLineChars="0" w:firstLine="0"/>
        <w:jc w:val="both"/>
        <w:rPr>
          <w:rFonts w:eastAsia="宋体"/>
        </w:rPr>
      </w:pPr>
      <w:r>
        <w:rPr>
          <w:rFonts w:eastAsia="宋体" w:hint="eastAsia"/>
        </w:rPr>
        <w:t>Therefore, the following proposal sugges</w:t>
      </w:r>
      <w:r>
        <w:rPr>
          <w:rFonts w:eastAsia="宋体" w:hint="eastAsia"/>
        </w:rPr>
        <w:t xml:space="preserve">ted by </w:t>
      </w:r>
      <w:proofErr w:type="gramStart"/>
      <w:r>
        <w:rPr>
          <w:rFonts w:eastAsia="宋体" w:hint="eastAsia"/>
        </w:rPr>
        <w:t>FL</w:t>
      </w:r>
      <w:r>
        <w:rPr>
          <w:rFonts w:eastAsia="宋体" w:hint="eastAsia"/>
          <w:vertAlign w:val="superscript"/>
        </w:rPr>
        <w:t>[</w:t>
      </w:r>
      <w:proofErr w:type="gramEnd"/>
      <w:r>
        <w:rPr>
          <w:rFonts w:eastAsia="宋体" w:hint="eastAsia"/>
          <w:vertAlign w:val="superscript"/>
        </w:rPr>
        <w:t>5]</w:t>
      </w:r>
      <w:r>
        <w:rPr>
          <w:rFonts w:eastAsia="宋体" w:hint="eastAsia"/>
        </w:rPr>
        <w:t xml:space="preserve">, can be supported.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2F63">
        <w:tc>
          <w:tcPr>
            <w:tcW w:w="9576" w:type="dxa"/>
          </w:tcPr>
          <w:p w:rsidR="00AD2F63" w:rsidRDefault="00CC49D7">
            <w:pPr>
              <w:spacing w:after="0" w:line="240" w:lineRule="auto"/>
              <w:contextualSpacing/>
              <w:rPr>
                <w:i/>
                <w:iCs/>
                <w:szCs w:val="20"/>
              </w:rPr>
            </w:pPr>
            <w:r>
              <w:rPr>
                <w:b/>
                <w:bCs/>
                <w:i/>
                <w:iCs/>
                <w:szCs w:val="20"/>
                <w:highlight w:val="yellow"/>
              </w:rPr>
              <w:t>Proposal 6.2:</w:t>
            </w:r>
            <w:r>
              <w:rPr>
                <w:b/>
                <w:bCs/>
                <w:i/>
                <w:iCs/>
                <w:szCs w:val="20"/>
              </w:rPr>
              <w:t xml:space="preserve"> </w:t>
            </w:r>
            <w:r>
              <w:rPr>
                <w:i/>
                <w:iCs/>
                <w:szCs w:val="20"/>
              </w:rPr>
              <w:t xml:space="preserve">For an 8TX UE, with Ng=8, configured for full power transmission with ‘fullpowerMode1’, at least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AD2F63">
              <w:tc>
                <w:tcPr>
                  <w:tcW w:w="2495"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spacing w:after="0" w:line="240" w:lineRule="auto"/>
                    <w:contextualSpacing/>
                    <w:rPr>
                      <w:rFonts w:eastAsia="Calibri"/>
                      <w:i/>
                      <w:iCs/>
                      <w:szCs w:val="20"/>
                    </w:rPr>
                  </w:pPr>
                  <w:r>
                    <w:rPr>
                      <w:i/>
                      <w:iCs/>
                      <w:szCs w:val="20"/>
                    </w:rPr>
                    <w:t>Rank = 4</w:t>
                  </w:r>
                </w:p>
              </w:tc>
            </w:tr>
            <w:tr w:rsidR="00AD2F63">
              <w:trPr>
                <w:trHeight w:val="2071"/>
              </w:trPr>
              <w:tc>
                <w:tcPr>
                  <w:tcW w:w="2495" w:type="dxa"/>
                  <w:tcBorders>
                    <w:top w:val="single" w:sz="4" w:space="0" w:color="auto"/>
                    <w:left w:val="single" w:sz="4" w:space="0" w:color="auto"/>
                    <w:bottom w:val="single" w:sz="4" w:space="0" w:color="auto"/>
                    <w:right w:val="single" w:sz="4" w:space="0" w:color="auto"/>
                  </w:tcBorders>
                  <w:shd w:val="clear" w:color="auto" w:fill="auto"/>
                </w:tcPr>
                <w:p w:rsidR="00AD2F63" w:rsidRDefault="00CC49D7">
                  <w:pPr>
                    <w:spacing w:after="0" w:line="240" w:lineRule="auto"/>
                    <w:contextualSpacing/>
                    <w:rPr>
                      <w:i/>
                      <w:szCs w:val="20"/>
                    </w:rPr>
                  </w:pPr>
                  <m:oMathPara>
                    <m:oMath>
                      <m:f>
                        <m:fPr>
                          <m:ctrlPr>
                            <w:rPr>
                              <w:rFonts w:ascii="Cambria Math" w:hAnsi="Cambria Math"/>
                              <w:i/>
                              <w:iCs/>
                              <w:kern w:val="2"/>
                              <w:szCs w:val="20"/>
                            </w:rPr>
                          </m:ctrlPr>
                        </m:fPr>
                        <m:num>
                          <m:r>
                            <w:rPr>
                              <w:rFonts w:ascii="Cambria Math" w:hAnsi="Cambria Math"/>
                              <w:szCs w:val="20"/>
                            </w:rPr>
                            <m:t>1</m:t>
                          </m:r>
                        </m:num>
                        <m:den>
                          <m:r>
                            <w:rPr>
                              <w:rFonts w:ascii="Cambria Math" w:hAnsi="Cambria Math"/>
                              <w:szCs w:val="20"/>
                            </w:rPr>
                            <m:t>2</m:t>
                          </m:r>
                          <m:rad>
                            <m:radPr>
                              <m:degHide m:val="1"/>
                              <m:ctrlPr>
                                <w:rPr>
                                  <w:rFonts w:ascii="Cambria Math" w:hAnsi="Cambria Math"/>
                                  <w:i/>
                                  <w:iCs/>
                                  <w:kern w:val="2"/>
                                  <w:szCs w:val="20"/>
                                </w:rPr>
                              </m:ctrlPr>
                            </m:radPr>
                            <m:deg/>
                            <m:e>
                              <m:r>
                                <w:rPr>
                                  <w:rFonts w:ascii="Cambria Math" w:hAnsi="Cambria Math"/>
                                  <w:szCs w:val="20"/>
                                </w:rPr>
                                <m:t>2</m:t>
                              </m:r>
                            </m:e>
                          </m:rad>
                        </m:den>
                      </m:f>
                      <m:d>
                        <m:dPr>
                          <m:begChr m:val="["/>
                          <m:endChr m:val="]"/>
                          <m:ctrlPr>
                            <w:rPr>
                              <w:rFonts w:ascii="Cambria Math" w:hAnsi="Cambria Math"/>
                              <w:i/>
                              <w:szCs w:val="20"/>
                            </w:rPr>
                          </m:ctrlPr>
                        </m:dPr>
                        <m:e>
                          <m:m>
                            <m:mPr>
                              <m:mcs>
                                <m:mc>
                                  <m:mcPr>
                                    <m:count m:val="4"/>
                                    <m:mcJc m:val="center"/>
                                  </m:mcPr>
                                </m:mc>
                              </m:mcs>
                              <m:ctrlPr>
                                <w:rPr>
                                  <w:rFonts w:ascii="Cambria Math" w:hAnsi="Cambria Math"/>
                                  <w:i/>
                                  <w:szCs w:val="20"/>
                                </w:rPr>
                              </m:ctrlPr>
                            </m:mPr>
                            <m:mr>
                              <m:e>
                                <m:r>
                                  <w:rPr>
                                    <w:rFonts w:ascii="Cambria Math" w:hAnsi="Cambria Math"/>
                                    <w:szCs w:val="20"/>
                                  </w:rPr>
                                  <m:t>1</m:t>
                                </m:r>
                              </m:e>
                              <m:e>
                                <m:r>
                                  <w:rPr>
                                    <w:rFonts w:ascii="Cambria Math" w:hAnsi="Cambria Math"/>
                                    <w:szCs w:val="20"/>
                                  </w:rPr>
                                  <m:t>0</m:t>
                                </m:r>
                              </m:e>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1</m:t>
                                </m:r>
                              </m:e>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0</m:t>
                                </m:r>
                              </m:e>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1</m:t>
                                </m:r>
                              </m:e>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0</m:t>
                                </m:r>
                              </m:e>
                              <m:e>
                                <m:r>
                                  <w:rPr>
                                    <w:rFonts w:ascii="Cambria Math" w:hAnsi="Cambria Math"/>
                                    <w:szCs w:val="20"/>
                                  </w:rPr>
                                  <m:t>1</m:t>
                                </m:r>
                              </m:e>
                            </m:mr>
                          </m:m>
                        </m:e>
                      </m:d>
                    </m:oMath>
                  </m:oMathPara>
                </w:p>
              </w:tc>
            </w:tr>
          </w:tbl>
          <w:p w:rsidR="00AD2F63" w:rsidRDefault="00AD2F63">
            <w:pPr>
              <w:pStyle w:val="ListParagraph"/>
              <w:snapToGrid w:val="0"/>
              <w:spacing w:beforeLines="30" w:before="72" w:afterLines="30" w:after="72" w:line="288" w:lineRule="auto"/>
              <w:ind w:firstLine="400"/>
              <w:jc w:val="both"/>
              <w:rPr>
                <w:rFonts w:eastAsia="宋体"/>
              </w:rPr>
            </w:pPr>
          </w:p>
        </w:tc>
      </w:tr>
    </w:tbl>
    <w:p w:rsidR="00AD2F63" w:rsidRDefault="00CC49D7">
      <w:pPr>
        <w:snapToGrid w:val="0"/>
        <w:spacing w:beforeLines="30" w:before="72" w:afterLines="30" w:after="72" w:line="288" w:lineRule="auto"/>
        <w:jc w:val="both"/>
        <w:rPr>
          <w:i/>
          <w:kern w:val="2"/>
          <w:lang w:bidi="ar"/>
        </w:rPr>
      </w:pPr>
      <w:r>
        <w:rPr>
          <w:rFonts w:eastAsia="宋体" w:hint="eastAsia"/>
          <w:b/>
          <w:i/>
        </w:rPr>
        <w:t>Proposal 1</w:t>
      </w:r>
      <w:r>
        <w:rPr>
          <w:rFonts w:hint="eastAsia"/>
          <w:b/>
          <w:i/>
        </w:rPr>
        <w:t xml:space="preserve">: </w:t>
      </w:r>
      <w:r>
        <w:rPr>
          <w:rFonts w:eastAsia="宋体" w:hint="eastAsia"/>
          <w:bCs/>
          <w:i/>
        </w:rPr>
        <w:t xml:space="preserve">Regarding </w:t>
      </w:r>
      <w:r>
        <w:rPr>
          <w:rFonts w:eastAsia="宋体" w:hint="eastAsia"/>
          <w:bCs/>
          <w:i/>
        </w:rPr>
        <w:t>full power mode 1 f</w:t>
      </w:r>
      <w:r>
        <w:rPr>
          <w:rFonts w:hint="eastAsia"/>
          <w:bCs/>
          <w:i/>
        </w:rPr>
        <w:t>or 8-Tx</w:t>
      </w:r>
      <w:r>
        <w:rPr>
          <w:rFonts w:eastAsia="宋体" w:hint="eastAsia"/>
          <w:bCs/>
          <w:i/>
        </w:rPr>
        <w:t>, support one full power precoder for rank 4, Ng=8, as follows:</w:t>
      </w:r>
      <w:r>
        <w:rPr>
          <w:rFonts w:hint="eastAsia"/>
          <w:i/>
          <w:kern w:val="2"/>
          <w:lang w:bidi="ar"/>
        </w:rPr>
        <w:t xml:space="preserve"> </w:t>
      </w:r>
    </w:p>
    <w:p w:rsidR="00AD2F63" w:rsidRDefault="00CC49D7">
      <w:pPr>
        <w:snapToGrid w:val="0"/>
        <w:spacing w:beforeLines="30" w:before="72" w:afterLines="30" w:after="72" w:line="288" w:lineRule="auto"/>
        <w:jc w:val="both"/>
        <w:rPr>
          <w:i/>
          <w:iCs/>
          <w:kern w:val="2"/>
          <w:lang w:bidi="ar"/>
        </w:rPr>
      </w:pPr>
      <m:oMathPara>
        <m:oMath>
          <m:f>
            <m:fPr>
              <m:ctrlPr>
                <w:rPr>
                  <w:rFonts w:ascii="Cambria Math" w:eastAsia="宋体" w:hAnsi="Cambria Math" w:hint="eastAsia"/>
                  <w:i/>
                  <w:iCs/>
                </w:rPr>
              </m:ctrlPr>
            </m:fPr>
            <m:num>
              <m:r>
                <w:rPr>
                  <w:rFonts w:ascii="Cambria Math" w:eastAsia="宋体" w:hAnsi="Cambria Math" w:hint="eastAsia"/>
                </w:rPr>
                <m:t>1</m:t>
              </m:r>
            </m:num>
            <m:den>
              <m:r>
                <w:rPr>
                  <w:rFonts w:ascii="Cambria Math" w:eastAsia="宋体" w:hAnsi="Cambria Math" w:hint="eastAsia"/>
                </w:rPr>
                <m:t>2</m:t>
              </m:r>
              <m:rad>
                <m:radPr>
                  <m:degHide m:val="1"/>
                  <m:ctrlPr>
                    <w:rPr>
                      <w:rFonts w:ascii="Cambria Math" w:eastAsia="宋体" w:hAnsi="Cambria Math" w:hint="eastAsia"/>
                      <w:i/>
                      <w:iCs/>
                    </w:rPr>
                  </m:ctrlPr>
                </m:radPr>
                <m:deg/>
                <m:e>
                  <m:r>
                    <w:rPr>
                      <w:rFonts w:ascii="Cambria Math" w:eastAsia="宋体" w:hAnsi="Cambria Math" w:hint="eastAsia"/>
                    </w:rPr>
                    <m:t>2</m:t>
                  </m:r>
                </m:e>
              </m:rad>
            </m:den>
          </m:f>
          <m:d>
            <m:dPr>
              <m:begChr m:val="["/>
              <m:endChr m:val="]"/>
              <m:ctrlPr>
                <w:rPr>
                  <w:rFonts w:ascii="Cambria Math" w:hAnsi="Cambria Math"/>
                  <w:i/>
                  <w:iCs/>
                  <w:kern w:val="2"/>
                  <w:sz w:val="22"/>
                  <w14:ligatures w14:val="standardContextual"/>
                </w:rPr>
              </m:ctrlPr>
            </m:dPr>
            <m:e>
              <m:m>
                <m:mPr>
                  <m:mcs>
                    <m:mc>
                      <m:mcPr>
                        <m:count m:val="1"/>
                        <m:mcJc m:val="center"/>
                      </m:mcPr>
                    </m:mc>
                  </m:mcs>
                  <m:ctrlPr>
                    <w:rPr>
                      <w:rFonts w:ascii="Cambria Math" w:hAnsi="Cambria Math"/>
                      <w:i/>
                      <w:iCs/>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iCs/>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iCs/>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iCs/>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m:oMathPara>
    </w:p>
    <w:p w:rsidR="00AD2F63" w:rsidRDefault="00CC49D7">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Full power mode 2</w:t>
      </w:r>
    </w:p>
    <w:p w:rsidR="00AD2F63" w:rsidRDefault="00CC49D7">
      <w:pPr>
        <w:snapToGrid w:val="0"/>
        <w:spacing w:beforeLines="30" w:before="72" w:afterLines="30" w:after="72" w:line="288" w:lineRule="auto"/>
        <w:jc w:val="both"/>
        <w:rPr>
          <w:rFonts w:eastAsia="宋体"/>
        </w:rPr>
      </w:pPr>
      <w:r>
        <w:rPr>
          <w:rFonts w:eastAsia="宋体" w:hint="eastAsia"/>
        </w:rPr>
        <w:t>How to support full power mode 2 was discussed in RAN1 #114, and agreement as follows was made as follows for Ng=2. As for Ng=4 and Ng=8, no consensus was reached due to limited online time, and a conclusion was made as below to not support full power mode</w:t>
      </w:r>
      <w:r>
        <w:rPr>
          <w:rFonts w:eastAsia="宋体" w:hint="eastAsia"/>
        </w:rPr>
        <w:t xml:space="preserve"> 2 in Rel-18 for Ng=4 and Ng=8.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2F63">
        <w:trPr>
          <w:trHeight w:val="90"/>
        </w:trPr>
        <w:tc>
          <w:tcPr>
            <w:tcW w:w="9576" w:type="dxa"/>
          </w:tcPr>
          <w:p w:rsidR="00AD2F63" w:rsidRDefault="00CC49D7">
            <w:pPr>
              <w:snapToGrid w:val="0"/>
              <w:contextualSpacing/>
              <w:jc w:val="both"/>
              <w:rPr>
                <w:b/>
                <w:bCs/>
                <w:szCs w:val="20"/>
                <w:highlight w:val="green"/>
              </w:rPr>
            </w:pPr>
            <w:r>
              <w:rPr>
                <w:b/>
                <w:bCs/>
                <w:szCs w:val="20"/>
                <w:u w:val="single"/>
              </w:rPr>
              <w:t>Agreement</w:t>
            </w:r>
          </w:p>
          <w:p w:rsidR="00AD2F63" w:rsidRDefault="00CC49D7">
            <w:pPr>
              <w:contextualSpacing/>
              <w:rPr>
                <w:szCs w:val="20"/>
              </w:rPr>
            </w:pPr>
            <w:r>
              <w:rPr>
                <w:szCs w:val="20"/>
              </w:rPr>
              <w:t>For an 8TX UE, configured for full power transmission with ‘fullpowerMode2’ for Ng=2</w:t>
            </w:r>
          </w:p>
          <w:p w:rsidR="00AD2F63" w:rsidRDefault="00CC49D7">
            <w:pPr>
              <w:numPr>
                <w:ilvl w:val="0"/>
                <w:numId w:val="11"/>
              </w:numPr>
              <w:snapToGrid w:val="0"/>
              <w:spacing w:after="0"/>
              <w:ind w:left="610"/>
              <w:contextualSpacing/>
              <w:rPr>
                <w:szCs w:val="20"/>
              </w:rPr>
            </w:pPr>
            <w:r>
              <w:rPr>
                <w:szCs w:val="20"/>
              </w:rPr>
              <w:t>UE power capability is indicated per antenna group, where for an indicated group, full power is supported for all ranks</w:t>
            </w:r>
          </w:p>
          <w:p w:rsidR="00AD2F63" w:rsidRDefault="00CC49D7">
            <w:pPr>
              <w:pStyle w:val="ListParagraph"/>
              <w:numPr>
                <w:ilvl w:val="1"/>
                <w:numId w:val="12"/>
              </w:numPr>
              <w:spacing w:after="0"/>
              <w:ind w:leftChars="300" w:left="998" w:hangingChars="199" w:hanging="398"/>
              <w:contextualSpacing/>
              <w:rPr>
                <w:rFonts w:eastAsia="宋体"/>
              </w:rPr>
            </w:pPr>
            <w:r>
              <w:rPr>
                <w:szCs w:val="20"/>
              </w:rPr>
              <w:t>For when</w:t>
            </w:r>
            <w:r>
              <w:rPr>
                <w:szCs w:val="20"/>
              </w:rPr>
              <w:t xml:space="preserve"> Ng=2, a single bit is used to indicate which of the antenna group has full power capability.</w:t>
            </w:r>
          </w:p>
          <w:p w:rsidR="00AD2F63" w:rsidRDefault="00CC49D7">
            <w:pPr>
              <w:snapToGrid w:val="0"/>
              <w:contextualSpacing/>
              <w:jc w:val="both"/>
              <w:rPr>
                <w:b/>
                <w:bCs/>
              </w:rPr>
            </w:pPr>
            <w:r>
              <w:rPr>
                <w:b/>
                <w:bCs/>
              </w:rPr>
              <w:t>Conclusion</w:t>
            </w:r>
          </w:p>
          <w:p w:rsidR="00AD2F63" w:rsidRDefault="00CC49D7">
            <w:pPr>
              <w:numPr>
                <w:ilvl w:val="0"/>
                <w:numId w:val="11"/>
              </w:numPr>
              <w:snapToGrid w:val="0"/>
              <w:spacing w:after="0"/>
              <w:ind w:left="610"/>
              <w:contextualSpacing/>
              <w:rPr>
                <w:szCs w:val="20"/>
              </w:rPr>
            </w:pPr>
            <w:r>
              <w:rPr>
                <w:szCs w:val="20"/>
              </w:rPr>
              <w:t>Full power transmission with ‘fullpowerMode2’ with TPMI capability reporting when Ng=4 is not supported in Rel-18</w:t>
            </w:r>
          </w:p>
          <w:p w:rsidR="00AD2F63" w:rsidRDefault="00CC49D7">
            <w:pPr>
              <w:numPr>
                <w:ilvl w:val="0"/>
                <w:numId w:val="11"/>
              </w:numPr>
              <w:snapToGrid w:val="0"/>
              <w:spacing w:after="0"/>
              <w:ind w:left="610"/>
              <w:contextualSpacing/>
              <w:rPr>
                <w:rFonts w:eastAsia="宋体"/>
              </w:rPr>
            </w:pPr>
            <w:r>
              <w:rPr>
                <w:szCs w:val="20"/>
              </w:rPr>
              <w:t>Full power transmission with ‘fullpow</w:t>
            </w:r>
            <w:r>
              <w:rPr>
                <w:szCs w:val="20"/>
              </w:rPr>
              <w:t>erMode2’ with TPMI capability reporting when Ng=8 is not supported in Rel-18</w:t>
            </w:r>
          </w:p>
        </w:tc>
      </w:tr>
    </w:tbl>
    <w:p w:rsidR="00AD2F63" w:rsidRDefault="00CC49D7">
      <w:pPr>
        <w:snapToGrid w:val="0"/>
        <w:spacing w:beforeLines="30" w:before="72" w:afterLines="30" w:after="72" w:line="288" w:lineRule="auto"/>
        <w:jc w:val="both"/>
        <w:rPr>
          <w:rFonts w:eastAsia="宋体"/>
        </w:rPr>
      </w:pPr>
      <w:r>
        <w:rPr>
          <w:rFonts w:eastAsia="宋体" w:hint="eastAsia"/>
        </w:rPr>
        <w:t xml:space="preserve">If not supporting full power mode 2 for Ng=4 and Ng=8, it is not a complete design. FL concluded that the core of the proposal as </w:t>
      </w:r>
      <w:proofErr w:type="gramStart"/>
      <w:r>
        <w:rPr>
          <w:rFonts w:eastAsia="宋体" w:hint="eastAsia"/>
        </w:rPr>
        <w:t>below</w:t>
      </w:r>
      <w:r>
        <w:rPr>
          <w:rFonts w:eastAsia="宋体" w:hint="eastAsia"/>
          <w:vertAlign w:val="superscript"/>
        </w:rPr>
        <w:t>[</w:t>
      </w:r>
      <w:proofErr w:type="gramEnd"/>
      <w:r>
        <w:rPr>
          <w:rFonts w:eastAsia="宋体" w:hint="eastAsia"/>
          <w:vertAlign w:val="superscript"/>
        </w:rPr>
        <w:t>5]</w:t>
      </w:r>
      <w:r>
        <w:rPr>
          <w:rFonts w:eastAsia="宋体" w:hint="eastAsia"/>
        </w:rPr>
        <w:t xml:space="preserve"> was acceptable to all companies, and th</w:t>
      </w:r>
      <w:r>
        <w:rPr>
          <w:rFonts w:eastAsia="宋体" w:hint="eastAsia"/>
        </w:rPr>
        <w:t>e only point of divergence was in the number of supported cases which could have a significant implications on UE capability signaling overhead and management. A proposal as below was provided for companies to revisit and an offline agreement is expected a</w:t>
      </w:r>
      <w:r>
        <w:rPr>
          <w:rFonts w:eastAsia="宋体" w:hint="eastAsia"/>
        </w:rPr>
        <w:t xml:space="preserve">t least for Ng=4 in RAN1 #114bis as suggested by FL.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D2F63">
        <w:tc>
          <w:tcPr>
            <w:tcW w:w="9576" w:type="dxa"/>
          </w:tcPr>
          <w:p w:rsidR="00AD2F63" w:rsidRDefault="00CC49D7">
            <w:pPr>
              <w:snapToGrid w:val="0"/>
              <w:spacing w:after="0" w:line="240" w:lineRule="auto"/>
              <w:contextualSpacing/>
              <w:jc w:val="both"/>
              <w:rPr>
                <w:i/>
                <w:iCs/>
                <w:szCs w:val="20"/>
              </w:rPr>
            </w:pPr>
            <w:r>
              <w:rPr>
                <w:b/>
                <w:bCs/>
                <w:i/>
                <w:iCs/>
                <w:szCs w:val="20"/>
                <w:highlight w:val="yellow"/>
              </w:rPr>
              <w:t>Proposal 6.1:</w:t>
            </w:r>
            <w:r>
              <w:rPr>
                <w:b/>
                <w:bCs/>
                <w:i/>
                <w:iCs/>
                <w:szCs w:val="20"/>
              </w:rPr>
              <w:t xml:space="preserve"> </w:t>
            </w:r>
            <w:r>
              <w:rPr>
                <w:i/>
                <w:iCs/>
                <w:szCs w:val="20"/>
              </w:rPr>
              <w:t>For an 8TX UE, configured for full power transmission with ‘fullpowerMode2’, for when Ng=4,</w:t>
            </w:r>
          </w:p>
          <w:p w:rsidR="00AD2F63" w:rsidRDefault="00CC49D7">
            <w:pPr>
              <w:pStyle w:val="ListParagraph"/>
              <w:numPr>
                <w:ilvl w:val="0"/>
                <w:numId w:val="12"/>
              </w:numPr>
              <w:spacing w:line="240" w:lineRule="auto"/>
              <w:ind w:firstLine="400"/>
              <w:contextualSpacing/>
              <w:rPr>
                <w:i/>
                <w:iCs/>
                <w:szCs w:val="20"/>
              </w:rPr>
            </w:pPr>
            <w:r>
              <w:rPr>
                <w:i/>
                <w:iCs/>
                <w:szCs w:val="20"/>
              </w:rPr>
              <w:t>One or more of the following categories with full power capability is specified, where,</w:t>
            </w:r>
          </w:p>
          <w:p w:rsidR="00AD2F63" w:rsidRDefault="00CC49D7">
            <w:pPr>
              <w:pStyle w:val="ListParagraph"/>
              <w:numPr>
                <w:ilvl w:val="1"/>
                <w:numId w:val="12"/>
              </w:numPr>
              <w:spacing w:line="240" w:lineRule="auto"/>
              <w:ind w:left="1080" w:firstLine="400"/>
              <w:contextualSpacing/>
              <w:rPr>
                <w:i/>
                <w:iCs/>
                <w:szCs w:val="20"/>
              </w:rPr>
            </w:pPr>
            <w:r>
              <w:rPr>
                <w:i/>
                <w:iCs/>
                <w:szCs w:val="20"/>
              </w:rPr>
              <w:t xml:space="preserve">UE </w:t>
            </w:r>
            <w:r>
              <w:rPr>
                <w:i/>
                <w:iCs/>
                <w:szCs w:val="20"/>
              </w:rPr>
              <w:t>selects and reports a subset of the categories</w:t>
            </w:r>
          </w:p>
          <w:p w:rsidR="00AD2F63" w:rsidRDefault="00CC49D7">
            <w:pPr>
              <w:pStyle w:val="ListParagraph"/>
              <w:numPr>
                <w:ilvl w:val="1"/>
                <w:numId w:val="12"/>
              </w:numPr>
              <w:spacing w:line="240" w:lineRule="auto"/>
              <w:ind w:left="1080" w:firstLine="400"/>
              <w:contextualSpacing/>
              <w:rPr>
                <w:i/>
                <w:iCs/>
                <w:szCs w:val="20"/>
              </w:rPr>
            </w:pPr>
            <w:r>
              <w:rPr>
                <w:i/>
                <w:iCs/>
                <w:szCs w:val="20"/>
              </w:rPr>
              <w:t>Full power is supported by joint use of the indicated antenna group(s) in each category, where x may be from 1 or 2</w:t>
            </w:r>
          </w:p>
          <w:p w:rsidR="00AD2F63" w:rsidRDefault="00CC49D7">
            <w:pPr>
              <w:pStyle w:val="ListParagraph"/>
              <w:numPr>
                <w:ilvl w:val="0"/>
                <w:numId w:val="12"/>
              </w:numPr>
              <w:spacing w:line="240" w:lineRule="auto"/>
              <w:ind w:firstLine="400"/>
              <w:contextualSpacing/>
              <w:rPr>
                <w:i/>
                <w:iCs/>
                <w:szCs w:val="20"/>
              </w:rPr>
            </w:pPr>
            <w:r>
              <w:rPr>
                <w:i/>
                <w:iCs/>
                <w:szCs w:val="20"/>
              </w:rPr>
              <w:t xml:space="preserve">Down-select from, </w:t>
            </w:r>
          </w:p>
          <w:p w:rsidR="00AD2F63" w:rsidRDefault="00CC49D7">
            <w:pPr>
              <w:pStyle w:val="ListParagraph"/>
              <w:numPr>
                <w:ilvl w:val="1"/>
                <w:numId w:val="12"/>
              </w:numPr>
              <w:spacing w:line="240" w:lineRule="auto"/>
              <w:ind w:left="1080" w:firstLine="402"/>
              <w:contextualSpacing/>
              <w:rPr>
                <w:i/>
                <w:iCs/>
                <w:szCs w:val="20"/>
              </w:rPr>
            </w:pPr>
            <w:r>
              <w:rPr>
                <w:b/>
                <w:bCs/>
                <w:i/>
                <w:iCs/>
                <w:szCs w:val="20"/>
              </w:rPr>
              <w:t>Alt1:</w:t>
            </w:r>
            <w:r>
              <w:rPr>
                <w:i/>
                <w:iCs/>
                <w:szCs w:val="20"/>
              </w:rPr>
              <w:t xml:space="preserve"> Full power capability is selected for a limited number of the catego</w:t>
            </w:r>
            <w:r>
              <w:rPr>
                <w:i/>
                <w:iCs/>
                <w:szCs w:val="20"/>
              </w:rPr>
              <w:t>ries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b/>
                      <w:bCs/>
                      <w:i/>
                      <w:iCs/>
                      <w:szCs w:val="20"/>
                    </w:rPr>
                    <w:t>Supported layer-splitting cases for Ng=4</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0, 0, 0)</w:t>
                  </w:r>
                </w:p>
              </w:tc>
            </w:tr>
            <w:tr w:rsidR="00AD2F63">
              <w:trPr>
                <w:trHeight w:val="9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x, 0, 0)</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0, x, 0)</w:t>
                  </w:r>
                </w:p>
              </w:tc>
            </w:tr>
            <w:tr w:rsidR="00AD2F63">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0, 0, x)</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5</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x, 0, 0)</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6</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0, x, 0)</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7</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0, 0, x)</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8</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x, x, 0)</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9</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x, 0, x)</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10</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0, x, x)</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x, x, 0)</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x, 0, x)</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(x, 0, x, x)</w:t>
                  </w:r>
                </w:p>
              </w:tc>
            </w:tr>
            <w:tr w:rsidR="00AD2F63">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lastRenderedPageBreak/>
                    <w:t>Category 14</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(0, x, x, x)</w:t>
                  </w:r>
                </w:p>
              </w:tc>
            </w:tr>
          </w:tbl>
          <w:p w:rsidR="00AD2F63" w:rsidRDefault="00AD2F63">
            <w:pPr>
              <w:spacing w:after="0" w:line="240" w:lineRule="auto"/>
              <w:contextualSpacing/>
              <w:jc w:val="both"/>
              <w:rPr>
                <w:szCs w:val="20"/>
              </w:rPr>
            </w:pPr>
          </w:p>
          <w:p w:rsidR="00AD2F63" w:rsidRDefault="00CC49D7">
            <w:pPr>
              <w:pStyle w:val="ListParagraph"/>
              <w:numPr>
                <w:ilvl w:val="1"/>
                <w:numId w:val="12"/>
              </w:numPr>
              <w:spacing w:line="240" w:lineRule="auto"/>
              <w:ind w:left="1080" w:firstLine="402"/>
              <w:contextualSpacing/>
              <w:rPr>
                <w:i/>
                <w:iCs/>
                <w:szCs w:val="20"/>
              </w:rPr>
            </w:pPr>
            <w:r>
              <w:rPr>
                <w:b/>
                <w:bCs/>
                <w:i/>
                <w:iCs/>
                <w:szCs w:val="20"/>
              </w:rPr>
              <w:t>Alt2:</w:t>
            </w:r>
            <w:r>
              <w:rPr>
                <w:i/>
                <w:iCs/>
                <w:szCs w:val="20"/>
              </w:rPr>
              <w:t xml:space="preserve"> Full power capability is indicated based on one of the following categories</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b/>
                      <w:bCs/>
                      <w:i/>
                      <w:iCs/>
                      <w:szCs w:val="20"/>
                      <w14:ligatures w14:val="standardContextual"/>
                    </w:rPr>
                    <w:t>Supported implementations for Ng=4</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one of antenna groups: </w:t>
                  </w:r>
                </w:p>
                <w:p w:rsidR="00AD2F63" w:rsidRDefault="00CC49D7">
                  <w:pPr>
                    <w:spacing w:after="0" w:line="240" w:lineRule="auto"/>
                    <w:contextualSpacing/>
                    <w:rPr>
                      <w:i/>
                      <w:iCs/>
                      <w:szCs w:val="20"/>
                      <w14:ligatures w14:val="standardContextual"/>
                    </w:rPr>
                  </w:pPr>
                  <w:r>
                    <w:rPr>
                      <w:i/>
                      <w:iCs/>
                      <w:szCs w:val="20"/>
                      <w14:ligatures w14:val="standardContextual"/>
                    </w:rPr>
                    <w:t>(x,0,0,0), (</w:t>
                  </w:r>
                  <w:proofErr w:type="gramStart"/>
                  <w:r>
                    <w:rPr>
                      <w:i/>
                      <w:iCs/>
                      <w:szCs w:val="20"/>
                      <w14:ligatures w14:val="standardContextual"/>
                    </w:rPr>
                    <w:t>0,x</w:t>
                  </w:r>
                  <w:proofErr w:type="gramEnd"/>
                  <w:r>
                    <w:rPr>
                      <w:i/>
                      <w:iCs/>
                      <w:szCs w:val="20"/>
                      <w14:ligatures w14:val="standardContextual"/>
                    </w:rPr>
                    <w:t xml:space="preserve">,0,0), (0,0,x,0), (0,0,0,x), </w:t>
                  </w:r>
                </w:p>
              </w:tc>
            </w:tr>
            <w:tr w:rsidR="00AD2F63">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Full power is supported by two adjacent antenna groups: (</w:t>
                  </w:r>
                  <w:proofErr w:type="gramStart"/>
                  <w:r>
                    <w:rPr>
                      <w:i/>
                      <w:iCs/>
                      <w:szCs w:val="20"/>
                      <w14:ligatures w14:val="standardContextual"/>
                    </w:rPr>
                    <w:t>x,x</w:t>
                  </w:r>
                  <w:proofErr w:type="gramEnd"/>
                  <w:r>
                    <w:rPr>
                      <w:i/>
                      <w:iCs/>
                      <w:szCs w:val="20"/>
                      <w14:ligatures w14:val="standardContextual"/>
                    </w:rPr>
                    <w:t xml:space="preserve">,0,0), (x,0,0,x), </w:t>
                  </w:r>
                  <w:r>
                    <w:rPr>
                      <w:i/>
                      <w:iCs/>
                      <w:szCs w:val="20"/>
                      <w14:ligatures w14:val="standardContextual"/>
                    </w:rPr>
                    <w:t>(0,x,x,0), (0,0,x,x)</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Full power is supported by two non-adjacent antenna groups: (x,</w:t>
                  </w:r>
                  <w:proofErr w:type="gramStart"/>
                  <w:r>
                    <w:rPr>
                      <w:i/>
                      <w:iCs/>
                      <w:szCs w:val="20"/>
                      <w14:ligatures w14:val="standardContextual"/>
                    </w:rPr>
                    <w:t>0,x</w:t>
                  </w:r>
                  <w:proofErr w:type="gramEnd"/>
                  <w:r>
                    <w:rPr>
                      <w:i/>
                      <w:iCs/>
                      <w:szCs w:val="20"/>
                      <w14:ligatures w14:val="standardContextual"/>
                    </w:rPr>
                    <w:t xml:space="preserve">,0), (0,x,0,x), </w:t>
                  </w:r>
                </w:p>
              </w:tc>
            </w:tr>
            <w:tr w:rsidR="00AD2F63">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three antenna groups: </w:t>
                  </w:r>
                </w:p>
                <w:p w:rsidR="00AD2F63" w:rsidRDefault="00CC49D7">
                  <w:pPr>
                    <w:spacing w:after="0" w:line="240" w:lineRule="auto"/>
                    <w:contextualSpacing/>
                    <w:rPr>
                      <w:i/>
                      <w:iCs/>
                      <w:szCs w:val="20"/>
                      <w14:ligatures w14:val="standardContextual"/>
                    </w:rPr>
                  </w:pPr>
                  <w:r>
                    <w:rPr>
                      <w:i/>
                      <w:iCs/>
                      <w:szCs w:val="20"/>
                      <w14:ligatures w14:val="standardContextual"/>
                    </w:rPr>
                    <w:t>(</w:t>
                  </w:r>
                  <w:proofErr w:type="gramStart"/>
                  <w:r>
                    <w:rPr>
                      <w:i/>
                      <w:iCs/>
                      <w:szCs w:val="20"/>
                      <w14:ligatures w14:val="standardContextual"/>
                    </w:rPr>
                    <w:t>x,x</w:t>
                  </w:r>
                  <w:proofErr w:type="gramEnd"/>
                  <w:r>
                    <w:rPr>
                      <w:i/>
                      <w:iCs/>
                      <w:szCs w:val="20"/>
                      <w14:ligatures w14:val="standardContextual"/>
                    </w:rPr>
                    <w:t>,x,0), (x,x,0,x), (x,0,x,x), (0,x,x,x)</w:t>
                  </w:r>
                </w:p>
              </w:tc>
            </w:tr>
          </w:tbl>
          <w:p w:rsidR="00AD2F63" w:rsidRDefault="00AD2F63">
            <w:pPr>
              <w:spacing w:after="0" w:line="240" w:lineRule="auto"/>
              <w:contextualSpacing/>
              <w:jc w:val="both"/>
              <w:rPr>
                <w:rFonts w:ascii="Times" w:eastAsia="Batang" w:hAnsi="Times"/>
                <w:szCs w:val="20"/>
                <w:lang w:val="en-GB" w:eastAsia="en-US"/>
              </w:rPr>
            </w:pPr>
          </w:p>
        </w:tc>
      </w:tr>
    </w:tbl>
    <w:p w:rsidR="00AD2F63" w:rsidRDefault="00CC49D7">
      <w:pPr>
        <w:snapToGrid w:val="0"/>
        <w:spacing w:beforeLines="30" w:before="72" w:afterLines="30" w:after="72" w:line="288" w:lineRule="auto"/>
        <w:jc w:val="both"/>
        <w:rPr>
          <w:rFonts w:eastAsia="宋体"/>
        </w:rPr>
      </w:pPr>
      <w:r>
        <w:rPr>
          <w:rFonts w:eastAsia="宋体" w:hint="eastAsia"/>
        </w:rPr>
        <w:lastRenderedPageBreak/>
        <w:t xml:space="preserve">Regarding the above proposal 6.1, </w:t>
      </w:r>
    </w:p>
    <w:p w:rsidR="00AD2F63" w:rsidRDefault="00CC49D7">
      <w:pPr>
        <w:numPr>
          <w:ilvl w:val="0"/>
          <w:numId w:val="13"/>
        </w:numPr>
        <w:snapToGrid w:val="0"/>
        <w:spacing w:beforeLines="30" w:before="72" w:afterLines="30" w:after="72" w:line="288" w:lineRule="auto"/>
        <w:jc w:val="both"/>
        <w:rPr>
          <w:rFonts w:eastAsia="宋体"/>
        </w:rPr>
      </w:pPr>
      <w:r>
        <w:rPr>
          <w:rFonts w:eastAsia="宋体" w:hint="eastAsia"/>
        </w:rPr>
        <w:t>Alt 1 supports 14 categories, and</w:t>
      </w:r>
      <w:r>
        <w:rPr>
          <w:rFonts w:eastAsia="宋体"/>
        </w:rPr>
        <w:t xml:space="preserve"> then </w:t>
      </w:r>
      <w:r>
        <w:rPr>
          <w:rFonts w:eastAsia="宋体" w:hint="eastAsia"/>
        </w:rPr>
        <w:t xml:space="preserve">some PA architectures may support more than one category, e.g., PA assumption of </w:t>
      </w:r>
      <w:r>
        <w:t>(20,20,20,</w:t>
      </w:r>
      <w:proofErr w:type="gramStart"/>
      <w:r>
        <w:t>20,  20</w:t>
      </w:r>
      <w:proofErr w:type="gramEnd"/>
      <w:r>
        <w:t>,20,20,20)</w:t>
      </w:r>
      <w:r>
        <w:rPr>
          <w:rFonts w:eastAsia="宋体" w:hint="eastAsia"/>
        </w:rPr>
        <w:t xml:space="preserve"> [dBm] can support all of categories 1-14. Only selecting one from categor</w:t>
      </w:r>
      <w:r>
        <w:rPr>
          <w:rFonts w:eastAsia="宋体" w:hint="eastAsia"/>
        </w:rPr>
        <w:t xml:space="preserve">ies 1-14, e.g., using 4 bits, is not good obviously. That means at most 14 bits are needed. Such overhead is large and unnecessary, but can be acceptable. However, it is hard to be extended for Ng=8 which includes 255 cases (corresponding to 255 bits) for </w:t>
      </w:r>
      <w:r>
        <w:rPr>
          <w:rFonts w:eastAsia="宋体" w:hint="eastAsia"/>
        </w:rPr>
        <w:t xml:space="preserve">different port combinations. Not all of the category combination </w:t>
      </w:r>
      <w:proofErr w:type="gramStart"/>
      <w:r>
        <w:rPr>
          <w:rFonts w:eastAsia="宋体" w:hint="eastAsia"/>
        </w:rPr>
        <w:t>are</w:t>
      </w:r>
      <w:proofErr w:type="gramEnd"/>
      <w:r>
        <w:rPr>
          <w:rFonts w:eastAsia="宋体" w:hint="eastAsia"/>
        </w:rPr>
        <w:t xml:space="preserve"> </w:t>
      </w:r>
      <w:r>
        <w:rPr>
          <w:rFonts w:eastAsia="宋体" w:hint="eastAsia"/>
        </w:rPr>
        <w:t>needed actually,</w:t>
      </w:r>
      <w:r>
        <w:rPr>
          <w:rFonts w:eastAsia="宋体" w:hint="eastAsia"/>
        </w:rPr>
        <w:t xml:space="preserve"> because</w:t>
      </w:r>
      <w:r>
        <w:rPr>
          <w:rFonts w:eastAsia="宋体" w:hint="eastAsia"/>
        </w:rPr>
        <w:t xml:space="preserve"> there are lots of redundancy. </w:t>
      </w:r>
    </w:p>
    <w:p w:rsidR="00AD2F63" w:rsidRDefault="00CC49D7">
      <w:pPr>
        <w:numPr>
          <w:ilvl w:val="0"/>
          <w:numId w:val="13"/>
        </w:numPr>
        <w:snapToGrid w:val="0"/>
        <w:spacing w:beforeLines="30" w:before="72" w:afterLines="30" w:after="72" w:line="288" w:lineRule="auto"/>
        <w:jc w:val="both"/>
        <w:rPr>
          <w:rFonts w:eastAsia="宋体"/>
        </w:rPr>
      </w:pPr>
      <w:r>
        <w:rPr>
          <w:rFonts w:eastAsia="宋体" w:hint="eastAsia"/>
        </w:rPr>
        <w:t xml:space="preserve">Alt 2 supports a limited number of 4 categories, and only one category is selected. But Alt 2 is not clear on which one of the multiple candidates for each category is assumed, so it needs more discussion. </w:t>
      </w:r>
    </w:p>
    <w:p w:rsidR="00AD2F63" w:rsidRDefault="00CC49D7">
      <w:pPr>
        <w:numPr>
          <w:ilvl w:val="1"/>
          <w:numId w:val="13"/>
        </w:numPr>
        <w:snapToGrid w:val="0"/>
        <w:spacing w:beforeLines="30" w:before="72" w:afterLines="30" w:after="72" w:line="288" w:lineRule="auto"/>
        <w:jc w:val="both"/>
        <w:rPr>
          <w:rFonts w:eastAsia="宋体"/>
        </w:rPr>
      </w:pPr>
      <w:r>
        <w:rPr>
          <w:rFonts w:eastAsia="宋体" w:hint="eastAsia"/>
        </w:rPr>
        <w:t xml:space="preserve">One way can be: select the following highlighted part as below for each category. </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b/>
                <w:bCs/>
                <w:i/>
                <w:iCs/>
                <w:szCs w:val="20"/>
                <w14:ligatures w14:val="standardContextual"/>
              </w:rPr>
              <w:t>Supported implementations for Ng=4</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one of antenna groups: </w:t>
            </w:r>
          </w:p>
          <w:p w:rsidR="00AD2F63" w:rsidRDefault="00CC49D7">
            <w:pPr>
              <w:spacing w:after="0" w:line="240" w:lineRule="auto"/>
              <w:contextualSpacing/>
              <w:rPr>
                <w:i/>
                <w:iCs/>
                <w:szCs w:val="20"/>
                <w14:ligatures w14:val="standardContextual"/>
              </w:rPr>
            </w:pPr>
            <w:r>
              <w:rPr>
                <w:i/>
                <w:iCs/>
                <w:szCs w:val="20"/>
                <w:highlight w:val="yellow"/>
                <w14:ligatures w14:val="standardContextual"/>
              </w:rPr>
              <w:t>(x,0,0,0)</w:t>
            </w:r>
            <w:r>
              <w:rPr>
                <w:i/>
                <w:iCs/>
                <w:szCs w:val="20"/>
                <w14:ligatures w14:val="standardContextual"/>
              </w:rPr>
              <w:t>, (</w:t>
            </w:r>
            <w:proofErr w:type="gramStart"/>
            <w:r>
              <w:rPr>
                <w:i/>
                <w:iCs/>
                <w:szCs w:val="20"/>
                <w14:ligatures w14:val="standardContextual"/>
              </w:rPr>
              <w:t>0,x</w:t>
            </w:r>
            <w:proofErr w:type="gramEnd"/>
            <w:r>
              <w:rPr>
                <w:i/>
                <w:iCs/>
                <w:szCs w:val="20"/>
                <w14:ligatures w14:val="standardContextual"/>
              </w:rPr>
              <w:t xml:space="preserve">,0,0), (0,0,x,0), (0,0,0,x), </w:t>
            </w:r>
          </w:p>
        </w:tc>
      </w:tr>
      <w:tr w:rsidR="00AD2F63">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Full power is supported by two adjacent antenna groups:</w:t>
            </w:r>
            <w:r>
              <w:rPr>
                <w:i/>
                <w:iCs/>
                <w:szCs w:val="20"/>
                <w:highlight w:val="yellow"/>
                <w14:ligatures w14:val="standardContextual"/>
              </w:rPr>
              <w:t xml:space="preserve"> (</w:t>
            </w:r>
            <w:proofErr w:type="gramStart"/>
            <w:r>
              <w:rPr>
                <w:i/>
                <w:iCs/>
                <w:szCs w:val="20"/>
                <w:highlight w:val="yellow"/>
                <w14:ligatures w14:val="standardContextual"/>
              </w:rPr>
              <w:t>x,x</w:t>
            </w:r>
            <w:proofErr w:type="gramEnd"/>
            <w:r>
              <w:rPr>
                <w:i/>
                <w:iCs/>
                <w:szCs w:val="20"/>
                <w:highlight w:val="yellow"/>
                <w14:ligatures w14:val="standardContextual"/>
              </w:rPr>
              <w:t>,0,0</w:t>
            </w:r>
            <w:r>
              <w:rPr>
                <w:i/>
                <w:iCs/>
                <w:szCs w:val="20"/>
                <w14:ligatures w14:val="standardContextual"/>
              </w:rPr>
              <w:t>), (x,0,0,x), (0,x,x,0), (0,0,x,x)</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two non-adjacent antenna groups: </w:t>
            </w:r>
            <w:r>
              <w:rPr>
                <w:i/>
                <w:iCs/>
                <w:szCs w:val="20"/>
                <w:highlight w:val="yellow"/>
                <w14:ligatures w14:val="standardContextual"/>
              </w:rPr>
              <w:t>(x,</w:t>
            </w:r>
            <w:proofErr w:type="gramStart"/>
            <w:r>
              <w:rPr>
                <w:i/>
                <w:iCs/>
                <w:szCs w:val="20"/>
                <w:highlight w:val="yellow"/>
                <w14:ligatures w14:val="standardContextual"/>
              </w:rPr>
              <w:t>0,x</w:t>
            </w:r>
            <w:proofErr w:type="gramEnd"/>
            <w:r>
              <w:rPr>
                <w:i/>
                <w:iCs/>
                <w:szCs w:val="20"/>
                <w:highlight w:val="yellow"/>
                <w14:ligatures w14:val="standardContextual"/>
              </w:rPr>
              <w:t>,0)</w:t>
            </w:r>
            <w:r>
              <w:rPr>
                <w:i/>
                <w:iCs/>
                <w:szCs w:val="20"/>
                <w14:ligatures w14:val="standardContextual"/>
              </w:rPr>
              <w:t xml:space="preserve">, (0,x,0,x), </w:t>
            </w:r>
          </w:p>
        </w:tc>
      </w:tr>
      <w:tr w:rsidR="00AD2F63">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three antenna groups: </w:t>
            </w:r>
          </w:p>
          <w:p w:rsidR="00AD2F63" w:rsidRDefault="00CC49D7">
            <w:pPr>
              <w:spacing w:after="0" w:line="240" w:lineRule="auto"/>
              <w:contextualSpacing/>
              <w:rPr>
                <w:i/>
                <w:iCs/>
                <w:szCs w:val="20"/>
                <w14:ligatures w14:val="standardContextual"/>
              </w:rPr>
            </w:pPr>
            <w:r>
              <w:rPr>
                <w:i/>
                <w:iCs/>
                <w:szCs w:val="20"/>
                <w:highlight w:val="yellow"/>
                <w14:ligatures w14:val="standardContextual"/>
              </w:rPr>
              <w:t>(</w:t>
            </w:r>
            <w:proofErr w:type="gramStart"/>
            <w:r>
              <w:rPr>
                <w:i/>
                <w:iCs/>
                <w:szCs w:val="20"/>
                <w:highlight w:val="yellow"/>
                <w14:ligatures w14:val="standardContextual"/>
              </w:rPr>
              <w:t>x,x</w:t>
            </w:r>
            <w:proofErr w:type="gramEnd"/>
            <w:r>
              <w:rPr>
                <w:i/>
                <w:iCs/>
                <w:szCs w:val="20"/>
                <w:highlight w:val="yellow"/>
                <w14:ligatures w14:val="standardContextual"/>
              </w:rPr>
              <w:t>,x,0)</w:t>
            </w:r>
            <w:r>
              <w:rPr>
                <w:i/>
                <w:iCs/>
                <w:szCs w:val="20"/>
                <w14:ligatures w14:val="standardContextual"/>
              </w:rPr>
              <w:t>, (x,x,0,x), (x,0,x,x), (0,x,x,x)</w:t>
            </w:r>
          </w:p>
        </w:tc>
      </w:tr>
    </w:tbl>
    <w:p w:rsidR="00AD2F63" w:rsidRDefault="00CC49D7">
      <w:pPr>
        <w:numPr>
          <w:ilvl w:val="1"/>
          <w:numId w:val="13"/>
        </w:numPr>
        <w:snapToGrid w:val="0"/>
        <w:spacing w:beforeLines="30" w:before="72" w:afterLines="30" w:after="72" w:line="288" w:lineRule="auto"/>
        <w:jc w:val="both"/>
        <w:rPr>
          <w:rFonts w:eastAsia="宋体"/>
        </w:rPr>
      </w:pPr>
      <w:r>
        <w:rPr>
          <w:rFonts w:eastAsia="宋体" w:hint="eastAsia"/>
        </w:rPr>
        <w:t xml:space="preserve">Category 4 aims to support 15.3dBm PA for each port which is very rarely used, so we can also accept to remove category 4. </w:t>
      </w:r>
    </w:p>
    <w:p w:rsidR="00AD2F63" w:rsidRDefault="00CC49D7">
      <w:pPr>
        <w:numPr>
          <w:ilvl w:val="1"/>
          <w:numId w:val="13"/>
        </w:numPr>
        <w:snapToGrid w:val="0"/>
        <w:spacing w:beforeLines="30" w:before="72" w:afterLines="30" w:after="72" w:line="288" w:lineRule="auto"/>
        <w:jc w:val="both"/>
        <w:rPr>
          <w:rFonts w:eastAsia="宋体"/>
        </w:rPr>
      </w:pPr>
      <w:r>
        <w:rPr>
          <w:rFonts w:eastAsia="宋体" w:hint="eastAsia"/>
        </w:rPr>
        <w:t>Category 2 and 3 may have no big difference, we can also accept to remove category 2.</w:t>
      </w:r>
    </w:p>
    <w:p w:rsidR="00AD2F63" w:rsidRDefault="00CC49D7">
      <w:pPr>
        <w:snapToGrid w:val="0"/>
        <w:spacing w:beforeLines="30" w:before="72" w:afterLines="30" w:after="72" w:line="288" w:lineRule="auto"/>
        <w:jc w:val="both"/>
        <w:rPr>
          <w:rFonts w:eastAsia="宋体"/>
        </w:rPr>
      </w:pPr>
      <w:r>
        <w:rPr>
          <w:rFonts w:eastAsia="宋体" w:hint="eastAsia"/>
        </w:rPr>
        <w:t>A</w:t>
      </w:r>
      <w:r>
        <w:rPr>
          <w:rFonts w:eastAsia="宋体" w:hint="eastAsia"/>
        </w:rPr>
        <w:t xml:space="preserve">nyway, it may take a long time to commercially deploy UL 8Tx feature, we do not need to make the spec very flexible and highly complicated especially for this initial version. It is hard to imagine that the spec needs to consider all of PA capabilities of </w:t>
      </w:r>
      <w:r>
        <w:rPr>
          <w:rFonts w:eastAsia="宋体" w:hint="eastAsia"/>
        </w:rPr>
        <w:t>23dBm, 20dBm, 17dBm, 14dBm and even 15.3dBm and lots of possible combination of such PAs. It is not correct to assume 14 or 15.3 dBm PA is cheaper than 23dBm PA, considering that 23dBm PA is most general, and the price is likely the lowest due to very huge</w:t>
      </w:r>
      <w:r>
        <w:rPr>
          <w:rFonts w:eastAsia="宋体" w:hint="eastAsia"/>
        </w:rPr>
        <w:t xml:space="preserve"> purchase. From this perspective, all full power (23dBm) ports as supported by full power mode 0 is the most typical architecture. Not to mention that it is always assuming UL 8Tx terminal as high-end product which should not be so price sensitive. </w:t>
      </w:r>
    </w:p>
    <w:p w:rsidR="00AD2F63" w:rsidRDefault="00CC49D7">
      <w:pPr>
        <w:snapToGrid w:val="0"/>
        <w:spacing w:beforeLines="30" w:before="72" w:afterLines="30" w:after="72" w:line="288" w:lineRule="auto"/>
        <w:jc w:val="both"/>
        <w:rPr>
          <w:rFonts w:eastAsia="宋体"/>
        </w:rPr>
      </w:pPr>
      <w:r>
        <w:rPr>
          <w:rFonts w:eastAsia="宋体" w:hint="eastAsia"/>
        </w:rPr>
        <w:lastRenderedPageBreak/>
        <w:t>Theref</w:t>
      </w:r>
      <w:r>
        <w:rPr>
          <w:rFonts w:eastAsia="宋体" w:hint="eastAsia"/>
        </w:rPr>
        <w:t>ore, in our opinion, only very limited number of PA assumptions may need to be considered, besides full power mode 0, and completing full power mode 2 for Ng=2, 4 and 8 is more important than supporting more flexible PA assumptions. In the future, if there</w:t>
      </w:r>
      <w:r>
        <w:rPr>
          <w:rFonts w:eastAsia="宋体" w:hint="eastAsia"/>
        </w:rPr>
        <w:t xml:space="preserve"> is </w:t>
      </w:r>
      <w:r>
        <w:rPr>
          <w:rFonts w:eastAsia="宋体"/>
        </w:rPr>
        <w:t xml:space="preserve">a </w:t>
      </w:r>
      <w:r>
        <w:rPr>
          <w:rFonts w:eastAsia="宋体" w:hint="eastAsia"/>
        </w:rPr>
        <w:t xml:space="preserve">new PA requirement, the issue may be addressed in the later release. </w:t>
      </w:r>
    </w:p>
    <w:p w:rsidR="00AD2F63" w:rsidRDefault="00AD2F63">
      <w:pPr>
        <w:snapToGrid w:val="0"/>
        <w:spacing w:beforeLines="30" w:before="72" w:afterLines="30" w:after="72" w:line="288" w:lineRule="auto"/>
        <w:jc w:val="both"/>
        <w:rPr>
          <w:rFonts w:eastAsia="宋体"/>
        </w:rPr>
      </w:pPr>
    </w:p>
    <w:p w:rsidR="00AD2F63" w:rsidRDefault="00CC49D7">
      <w:pPr>
        <w:snapToGrid w:val="0"/>
        <w:spacing w:beforeLines="30" w:before="72" w:afterLines="30" w:after="72" w:line="288" w:lineRule="auto"/>
        <w:jc w:val="both"/>
        <w:rPr>
          <w:rFonts w:eastAsia="宋体"/>
        </w:rPr>
      </w:pPr>
      <w:r>
        <w:rPr>
          <w:rFonts w:eastAsia="宋体" w:hint="eastAsia"/>
        </w:rPr>
        <w:t xml:space="preserve">Based on the above analysis, we suggest: </w:t>
      </w:r>
    </w:p>
    <w:p w:rsidR="00AD2F63" w:rsidRDefault="00CC49D7">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2</w:t>
      </w:r>
      <w:r>
        <w:rPr>
          <w:rFonts w:eastAsia="宋体" w:hint="eastAsia"/>
          <w:i/>
          <w:iCs/>
        </w:rPr>
        <w:t xml:space="preserve">: </w:t>
      </w:r>
      <w:r>
        <w:rPr>
          <w:rFonts w:hint="eastAsia"/>
          <w:i/>
          <w:iCs/>
        </w:rPr>
        <w:t>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the following categories should be supported</w:t>
      </w:r>
      <w:r>
        <w:rPr>
          <w:rFonts w:eastAsia="宋体" w:hint="eastAsia"/>
          <w:b/>
          <w:bCs/>
          <w:i/>
          <w:iCs/>
          <w:szCs w:val="20"/>
          <w14:ligatures w14:val="standardContextual"/>
        </w:rPr>
        <w:t xml:space="preserve"> </w:t>
      </w:r>
      <w:r>
        <w:rPr>
          <w:rFonts w:eastAsia="宋体" w:hint="eastAsia"/>
          <w:i/>
          <w:iCs/>
          <w:szCs w:val="20"/>
          <w14:ligatures w14:val="standardContextual"/>
        </w:rPr>
        <w:t>for Ng=4</w:t>
      </w:r>
      <w:r>
        <w:rPr>
          <w:rFonts w:eastAsia="宋体" w:hint="eastAsia"/>
          <w:i/>
          <w:iCs/>
        </w:rPr>
        <w:t xml:space="preserve">, </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eastAsia="宋体" w:hint="eastAsia"/>
                <w:b/>
                <w:bCs/>
                <w:i/>
                <w:iCs/>
                <w:szCs w:val="20"/>
                <w14:ligatures w14:val="standardContextual"/>
              </w:rPr>
              <w:t>F</w:t>
            </w:r>
            <w:r>
              <w:rPr>
                <w:b/>
                <w:bCs/>
                <w:i/>
                <w:iCs/>
                <w:szCs w:val="20"/>
                <w14:ligatures w14:val="standardContextual"/>
              </w:rPr>
              <w:t>or Ng=</w:t>
            </w:r>
            <w:r>
              <w:rPr>
                <w:rFonts w:eastAsia="宋体" w:hint="eastAsia"/>
                <w:b/>
                <w:bCs/>
                <w:i/>
                <w:iCs/>
                <w:szCs w:val="20"/>
                <w14:ligatures w14:val="standardContextual"/>
              </w:rPr>
              <w:t xml:space="preserve">4, </w:t>
            </w:r>
            <w:r>
              <w:rPr>
                <w:b/>
                <w:bCs/>
                <w:i/>
                <w:iCs/>
                <w:szCs w:val="20"/>
                <w14:ligatures w14:val="standardContextual"/>
              </w:rPr>
              <w:t>Full power is supported by:</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one of antenna groups: </w:t>
            </w:r>
          </w:p>
          <w:p w:rsidR="00AD2F63" w:rsidRDefault="00CC49D7">
            <w:pPr>
              <w:spacing w:after="0" w:line="240" w:lineRule="auto"/>
              <w:contextualSpacing/>
              <w:rPr>
                <w:i/>
                <w:iCs/>
                <w:szCs w:val="20"/>
                <w14:ligatures w14:val="standardContextual"/>
              </w:rPr>
            </w:pPr>
            <w:r>
              <w:rPr>
                <w:i/>
                <w:iCs/>
                <w:szCs w:val="20"/>
                <w14:ligatures w14:val="standardContextual"/>
              </w:rPr>
              <w:t xml:space="preserve">(x,0,0,0) </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rFonts w:eastAsia="宋体"/>
                <w:i/>
                <w:iCs/>
                <w:szCs w:val="20"/>
                <w14:ligatures w14:val="standardContextual"/>
              </w:rPr>
            </w:pPr>
            <w:r>
              <w:rPr>
                <w:i/>
                <w:iCs/>
                <w:szCs w:val="20"/>
                <w14:ligatures w14:val="standardContextual"/>
              </w:rPr>
              <w:t xml:space="preserve">Category </w:t>
            </w:r>
            <w:r>
              <w:rPr>
                <w:rFonts w:eastAsia="宋体" w:hint="eastAsia"/>
                <w:i/>
                <w:iCs/>
                <w:szCs w:val="20"/>
                <w14:ligatures w14:val="standardContextual"/>
              </w:rPr>
              <w:t>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Full power is supported by two non-adjacent antenna groups: (x,</w:t>
            </w:r>
            <w:proofErr w:type="gramStart"/>
            <w:r>
              <w:rPr>
                <w:i/>
                <w:iCs/>
                <w:szCs w:val="20"/>
                <w14:ligatures w14:val="standardContextual"/>
              </w:rPr>
              <w:t>0,x</w:t>
            </w:r>
            <w:proofErr w:type="gramEnd"/>
            <w:r>
              <w:rPr>
                <w:i/>
                <w:iCs/>
                <w:szCs w:val="20"/>
                <w14:ligatures w14:val="standardContextual"/>
              </w:rPr>
              <w:t xml:space="preserve">,0) </w:t>
            </w:r>
          </w:p>
        </w:tc>
      </w:tr>
    </w:tbl>
    <w:p w:rsidR="00AD2F63" w:rsidRDefault="00AD2F63">
      <w:pPr>
        <w:snapToGrid w:val="0"/>
        <w:spacing w:beforeLines="30" w:before="72" w:afterLines="30" w:after="72" w:line="288" w:lineRule="auto"/>
        <w:jc w:val="both"/>
        <w:rPr>
          <w:rFonts w:eastAsia="宋体"/>
        </w:rPr>
      </w:pPr>
    </w:p>
    <w:p w:rsidR="00AD2F63" w:rsidRDefault="00CC49D7">
      <w:pPr>
        <w:snapToGrid w:val="0"/>
        <w:spacing w:beforeLines="30" w:before="72" w:afterLines="30" w:after="72" w:line="288" w:lineRule="auto"/>
        <w:jc w:val="both"/>
        <w:rPr>
          <w:rFonts w:eastAsia="宋体"/>
        </w:rPr>
      </w:pPr>
      <w:r>
        <w:rPr>
          <w:rFonts w:eastAsia="宋体" w:hint="eastAsia"/>
        </w:rPr>
        <w:t xml:space="preserve">Further, if the above proposal can be acceptable, the </w:t>
      </w:r>
      <w:r>
        <w:rPr>
          <w:rFonts w:eastAsia="宋体" w:hint="eastAsia"/>
        </w:rPr>
        <w:t>similar logic can be extended to Ng=8.</w:t>
      </w:r>
    </w:p>
    <w:p w:rsidR="00AD2F63" w:rsidRDefault="00CC49D7">
      <w:pPr>
        <w:pStyle w:val="ListParagraph"/>
        <w:snapToGrid w:val="0"/>
        <w:spacing w:beforeLines="30" w:before="72" w:afterLines="30" w:after="72" w:line="288" w:lineRule="auto"/>
        <w:ind w:firstLineChars="0" w:firstLine="0"/>
        <w:jc w:val="both"/>
        <w:rPr>
          <w:rFonts w:eastAsia="宋体"/>
        </w:rPr>
      </w:pPr>
      <w:r>
        <w:rPr>
          <w:rFonts w:eastAsia="宋体" w:hint="eastAsia"/>
          <w:b/>
          <w:bCs/>
          <w:i/>
          <w:iCs/>
        </w:rPr>
        <w:t>Proposal 3</w:t>
      </w:r>
      <w:r>
        <w:rPr>
          <w:rFonts w:eastAsia="宋体" w:hint="eastAsia"/>
          <w:i/>
          <w:iCs/>
        </w:rPr>
        <w:t xml:space="preserve">: </w:t>
      </w:r>
      <w:r>
        <w:rPr>
          <w:rFonts w:hint="eastAsia"/>
          <w:i/>
          <w:iCs/>
        </w:rPr>
        <w:t>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the following categories should be supported</w:t>
      </w:r>
      <w:r>
        <w:rPr>
          <w:rFonts w:eastAsia="宋体" w:hint="eastAsia"/>
          <w:b/>
          <w:bCs/>
          <w:i/>
          <w:iCs/>
          <w:szCs w:val="20"/>
          <w14:ligatures w14:val="standardContextual"/>
        </w:rPr>
        <w:t xml:space="preserve"> </w:t>
      </w:r>
      <w:r>
        <w:rPr>
          <w:rFonts w:eastAsia="宋体" w:hint="eastAsia"/>
          <w:i/>
          <w:iCs/>
          <w:szCs w:val="20"/>
          <w14:ligatures w14:val="standardContextual"/>
        </w:rPr>
        <w:t>for Ng=8</w:t>
      </w:r>
      <w:r>
        <w:rPr>
          <w:rFonts w:eastAsia="宋体" w:hint="eastAsia"/>
          <w:i/>
          <w:iCs/>
        </w:rPr>
        <w:t xml:space="preserve">, </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rFonts w:eastAsia="宋体"/>
                <w:i/>
                <w:iCs/>
                <w:szCs w:val="20"/>
                <w14:ligatures w14:val="standardContextual"/>
              </w:rPr>
            </w:pPr>
            <w:r>
              <w:rPr>
                <w:rFonts w:eastAsia="宋体" w:hint="eastAsia"/>
                <w:b/>
                <w:bCs/>
                <w:i/>
                <w:iCs/>
                <w:szCs w:val="20"/>
                <w14:ligatures w14:val="standardContextual"/>
              </w:rPr>
              <w:t>F</w:t>
            </w:r>
            <w:r>
              <w:rPr>
                <w:b/>
                <w:bCs/>
                <w:i/>
                <w:iCs/>
                <w:szCs w:val="20"/>
                <w14:ligatures w14:val="standardContextual"/>
              </w:rPr>
              <w:t>or Ng=</w:t>
            </w:r>
            <w:r>
              <w:rPr>
                <w:rFonts w:eastAsia="宋体" w:hint="eastAsia"/>
                <w:b/>
                <w:bCs/>
                <w:i/>
                <w:iCs/>
                <w:szCs w:val="20"/>
                <w14:ligatures w14:val="standardContextual"/>
              </w:rPr>
              <w:t xml:space="preserve">8, </w:t>
            </w:r>
            <w:r>
              <w:rPr>
                <w:b/>
                <w:bCs/>
                <w:i/>
                <w:iCs/>
                <w:szCs w:val="20"/>
                <w14:ligatures w14:val="standardContextual"/>
              </w:rPr>
              <w:t>Full power is supported by:</w:t>
            </w:r>
          </w:p>
        </w:tc>
      </w:tr>
      <w:tr w:rsidR="00AD2F63">
        <w:trPr>
          <w:trHeight w:val="336"/>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hint="eastAsia"/>
                <w:i/>
                <w:iCs/>
                <w:szCs w:val="20"/>
                <w14:ligatures w14:val="standardContextual"/>
              </w:rPr>
              <w:t>(x,</w:t>
            </w:r>
            <w:r>
              <w:rPr>
                <w:i/>
                <w:iCs/>
                <w:szCs w:val="20"/>
                <w14:ligatures w14:val="standardContextual"/>
              </w:rPr>
              <w:t>0,0</w:t>
            </w:r>
            <w:r>
              <w:rPr>
                <w:rFonts w:hint="eastAsia"/>
                <w:i/>
                <w:iCs/>
                <w:szCs w:val="20"/>
                <w14:ligatures w14:val="standardContextual"/>
              </w:rPr>
              <w:t>,0, 0,0</w:t>
            </w:r>
            <w:r>
              <w:rPr>
                <w:i/>
                <w:iCs/>
                <w:szCs w:val="20"/>
                <w14:ligatures w14:val="standardContextual"/>
              </w:rPr>
              <w:t>,0</w:t>
            </w:r>
            <w:r>
              <w:rPr>
                <w:rFonts w:hint="eastAsia"/>
                <w:i/>
                <w:iCs/>
                <w:szCs w:val="20"/>
                <w14:ligatures w14:val="standardContextual"/>
              </w:rPr>
              <w:t>,0)</w:t>
            </w:r>
          </w:p>
        </w:tc>
      </w:tr>
      <w:tr w:rsidR="00AD2F63">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hint="eastAsia"/>
                <w:i/>
                <w:iCs/>
                <w:szCs w:val="20"/>
                <w14:ligatures w14:val="standardContextual"/>
              </w:rPr>
              <w:t>(x,</w:t>
            </w:r>
            <w:r>
              <w:rPr>
                <w:i/>
                <w:iCs/>
                <w:szCs w:val="20"/>
                <w14:ligatures w14:val="standardContextual"/>
              </w:rPr>
              <w:t>0,0</w:t>
            </w:r>
            <w:r>
              <w:rPr>
                <w:rFonts w:hint="eastAsia"/>
                <w:i/>
                <w:iCs/>
                <w:szCs w:val="20"/>
                <w14:ligatures w14:val="standardContextual"/>
              </w:rPr>
              <w:t>,0, x,0</w:t>
            </w:r>
            <w:r>
              <w:rPr>
                <w:i/>
                <w:iCs/>
                <w:szCs w:val="20"/>
                <w14:ligatures w14:val="standardContextual"/>
              </w:rPr>
              <w:t>,0</w:t>
            </w:r>
            <w:r>
              <w:rPr>
                <w:rFonts w:hint="eastAsia"/>
                <w:i/>
                <w:iCs/>
                <w:szCs w:val="20"/>
                <w14:ligatures w14:val="standardContextual"/>
              </w:rPr>
              <w:t>,0)</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hint="eastAsia"/>
                <w:i/>
                <w:iCs/>
                <w:szCs w:val="20"/>
                <w14:ligatures w14:val="standardContextual"/>
              </w:rPr>
              <w:t>(x,</w:t>
            </w:r>
            <w:proofErr w:type="gramStart"/>
            <w:r>
              <w:rPr>
                <w:i/>
                <w:iCs/>
                <w:szCs w:val="20"/>
                <w14:ligatures w14:val="standardContextual"/>
              </w:rPr>
              <w:t>0,</w:t>
            </w:r>
            <w:r>
              <w:rPr>
                <w:rFonts w:hint="eastAsia"/>
                <w:i/>
                <w:iCs/>
                <w:szCs w:val="20"/>
                <w14:ligatures w14:val="standardContextual"/>
              </w:rPr>
              <w:t>x</w:t>
            </w:r>
            <w:proofErr w:type="gramEnd"/>
            <w:r>
              <w:rPr>
                <w:rFonts w:hint="eastAsia"/>
                <w:i/>
                <w:iCs/>
                <w:szCs w:val="20"/>
                <w14:ligatures w14:val="standardContextual"/>
              </w:rPr>
              <w:t>,0, x,0</w:t>
            </w:r>
            <w:r>
              <w:rPr>
                <w:i/>
                <w:iCs/>
                <w:szCs w:val="20"/>
                <w14:ligatures w14:val="standardContextual"/>
              </w:rPr>
              <w:t>,</w:t>
            </w:r>
            <w:r>
              <w:rPr>
                <w:rFonts w:hint="eastAsia"/>
                <w:i/>
                <w:iCs/>
                <w:szCs w:val="20"/>
                <w14:ligatures w14:val="standardContextual"/>
              </w:rPr>
              <w:t>x,0)</w:t>
            </w:r>
          </w:p>
        </w:tc>
      </w:tr>
    </w:tbl>
    <w:p w:rsidR="00AD2F63" w:rsidRDefault="00AD2F63">
      <w:pPr>
        <w:snapToGrid w:val="0"/>
        <w:spacing w:beforeLines="30" w:before="72" w:afterLines="30" w:after="72" w:line="288" w:lineRule="auto"/>
        <w:jc w:val="both"/>
        <w:rPr>
          <w:rFonts w:eastAsia="宋体"/>
        </w:rPr>
      </w:pPr>
    </w:p>
    <w:p w:rsidR="00AD2F63" w:rsidRDefault="00CC49D7">
      <w:pPr>
        <w:snapToGrid w:val="0"/>
        <w:spacing w:beforeLines="30" w:before="72" w:afterLines="30" w:after="72" w:line="288" w:lineRule="auto"/>
        <w:jc w:val="both"/>
        <w:rPr>
          <w:rFonts w:eastAsia="宋体"/>
        </w:rPr>
      </w:pPr>
      <w:r>
        <w:rPr>
          <w:rFonts w:eastAsia="宋体" w:hint="eastAsia"/>
        </w:rPr>
        <w:t xml:space="preserve">Another issue is about Ng=2. It was agreed that </w:t>
      </w:r>
      <w:r>
        <w:rPr>
          <w:szCs w:val="20"/>
        </w:rPr>
        <w:t>when Ng=2, a single bit is used to indicate which of the antenna group has full power capability.</w:t>
      </w:r>
      <w:r>
        <w:rPr>
          <w:rFonts w:eastAsia="宋体" w:hint="eastAsia"/>
          <w:szCs w:val="20"/>
        </w:rPr>
        <w:t xml:space="preserve"> It can be understood that only one of port group can support full power, but excluding the case that both port groups can separately support full power. One port group for Ng=2 supports full power means 4 ports can support full power, e.g., 23dBm, and eac</w:t>
      </w:r>
      <w:r>
        <w:rPr>
          <w:rFonts w:eastAsia="宋体" w:hint="eastAsia"/>
          <w:szCs w:val="20"/>
        </w:rPr>
        <w:t xml:space="preserve">h port can be equipped with a PA &gt;=17dBm, rather than each port can support 23dBm PA. </w:t>
      </w:r>
    </w:p>
    <w:p w:rsidR="00AD2F63" w:rsidRDefault="00CC49D7">
      <w:pPr>
        <w:snapToGrid w:val="0"/>
        <w:spacing w:beforeLines="30" w:before="72" w:afterLines="30" w:after="72" w:line="288" w:lineRule="auto"/>
        <w:jc w:val="both"/>
        <w:rPr>
          <w:rFonts w:eastAsia="宋体"/>
          <w:szCs w:val="20"/>
        </w:rPr>
      </w:pPr>
      <w:r>
        <w:rPr>
          <w:rFonts w:eastAsia="宋体" w:hint="eastAsia"/>
        </w:rPr>
        <w:t xml:space="preserve">Actually, whether both port groups can </w:t>
      </w:r>
      <w:r>
        <w:rPr>
          <w:rFonts w:eastAsia="宋体" w:hint="eastAsia"/>
          <w:szCs w:val="20"/>
        </w:rPr>
        <w:t xml:space="preserve">separately </w:t>
      </w:r>
      <w:r>
        <w:rPr>
          <w:rFonts w:eastAsia="宋体"/>
          <w:szCs w:val="20"/>
        </w:rPr>
        <w:t>support</w:t>
      </w:r>
      <w:r>
        <w:rPr>
          <w:rFonts w:eastAsia="宋体" w:hint="eastAsia"/>
          <w:szCs w:val="20"/>
        </w:rPr>
        <w:t xml:space="preserve"> full power is allowed depends on the definition of full power mode 0 being for a fixed 8 ports, or for a certain Ng.</w:t>
      </w:r>
    </w:p>
    <w:p w:rsidR="00AD2F63" w:rsidRDefault="00CC49D7">
      <w:pPr>
        <w:numPr>
          <w:ilvl w:val="0"/>
          <w:numId w:val="14"/>
        </w:numPr>
        <w:snapToGrid w:val="0"/>
        <w:spacing w:beforeLines="30" w:before="72" w:afterLines="30" w:after="72" w:line="288" w:lineRule="auto"/>
        <w:jc w:val="both"/>
        <w:rPr>
          <w:rFonts w:eastAsia="宋体"/>
          <w:szCs w:val="20"/>
        </w:rPr>
      </w:pPr>
      <w:r>
        <w:rPr>
          <w:rFonts w:eastAsia="宋体" w:hint="eastAsia"/>
          <w:szCs w:val="20"/>
        </w:rPr>
        <w:t>Option 1: If full power mode 0 is for a fixed 8 ports which requires (23,23,23,23,23,23,23,23) dBm PA assumption, then for full power mode</w:t>
      </w:r>
      <w:r>
        <w:rPr>
          <w:rFonts w:eastAsia="宋体" w:hint="eastAsia"/>
          <w:szCs w:val="20"/>
        </w:rPr>
        <w:t xml:space="preserve"> 2 (not supporting mode 0), Ng=2, a PA assumption of (17,17,17,17, 17,17,17,17) dBm can support </w:t>
      </w:r>
      <w:r>
        <w:rPr>
          <w:rFonts w:eastAsia="宋体" w:hint="eastAsia"/>
          <w:szCs w:val="20"/>
        </w:rPr>
        <w:t xml:space="preserve">the case that </w:t>
      </w:r>
      <w:r>
        <w:rPr>
          <w:rFonts w:eastAsia="宋体" w:hint="eastAsia"/>
        </w:rPr>
        <w:t xml:space="preserve">both port groups can </w:t>
      </w:r>
      <w:r>
        <w:rPr>
          <w:rFonts w:eastAsia="宋体" w:hint="eastAsia"/>
          <w:szCs w:val="20"/>
        </w:rPr>
        <w:t>separately support full power.</w:t>
      </w:r>
    </w:p>
    <w:p w:rsidR="00AD2F63" w:rsidRDefault="00CC49D7">
      <w:pPr>
        <w:numPr>
          <w:ilvl w:val="0"/>
          <w:numId w:val="14"/>
        </w:numPr>
        <w:snapToGrid w:val="0"/>
        <w:spacing w:beforeLines="30" w:before="72" w:afterLines="30" w:after="72" w:line="288" w:lineRule="auto"/>
        <w:jc w:val="both"/>
        <w:rPr>
          <w:rFonts w:eastAsia="宋体"/>
          <w:szCs w:val="20"/>
        </w:rPr>
      </w:pPr>
      <w:r>
        <w:rPr>
          <w:rFonts w:eastAsia="宋体" w:hint="eastAsia"/>
          <w:szCs w:val="20"/>
        </w:rPr>
        <w:t>Option 2: If full power mode 0 is for a certain Ng, e.g., Ng=2, which requires (17,17,17,17, 1</w:t>
      </w:r>
      <w:r>
        <w:rPr>
          <w:rFonts w:eastAsia="宋体" w:hint="eastAsia"/>
          <w:szCs w:val="20"/>
        </w:rPr>
        <w:t xml:space="preserve">7,17,17,17) dBm PA assumption, then for full power mode 2 (not supporting mode 0), </w:t>
      </w:r>
      <w:r>
        <w:rPr>
          <w:rFonts w:eastAsia="宋体" w:hint="eastAsia"/>
        </w:rPr>
        <w:t xml:space="preserve">both port groups </w:t>
      </w:r>
      <w:r>
        <w:rPr>
          <w:rFonts w:eastAsia="宋体" w:hint="eastAsia"/>
          <w:szCs w:val="20"/>
        </w:rPr>
        <w:t>separately support</w:t>
      </w:r>
      <w:r>
        <w:rPr>
          <w:rFonts w:eastAsia="宋体" w:hint="eastAsia"/>
          <w:szCs w:val="20"/>
        </w:rPr>
        <w:t>ing</w:t>
      </w:r>
      <w:r>
        <w:rPr>
          <w:rFonts w:eastAsia="宋体" w:hint="eastAsia"/>
          <w:szCs w:val="20"/>
        </w:rPr>
        <w:t xml:space="preserve"> full power is not needed. </w:t>
      </w:r>
    </w:p>
    <w:p w:rsidR="00AD2F63" w:rsidRDefault="00CC49D7">
      <w:pPr>
        <w:snapToGrid w:val="0"/>
        <w:spacing w:beforeLines="30" w:before="72" w:afterLines="30" w:after="72" w:line="288" w:lineRule="auto"/>
        <w:jc w:val="both"/>
        <w:rPr>
          <w:rFonts w:eastAsia="宋体"/>
          <w:szCs w:val="20"/>
        </w:rPr>
      </w:pPr>
      <w:r>
        <w:rPr>
          <w:rFonts w:eastAsia="宋体" w:hint="eastAsia"/>
          <w:szCs w:val="20"/>
        </w:rPr>
        <w:t>At least for now, full power mode 0 is not a Ng specific parameter</w:t>
      </w:r>
      <w:r>
        <w:rPr>
          <w:rFonts w:eastAsia="宋体" w:hint="eastAsia"/>
          <w:szCs w:val="20"/>
        </w:rPr>
        <w:t xml:space="preserve">, and it can be understood as option 1 </w:t>
      </w:r>
      <w:proofErr w:type="spellStart"/>
      <w:proofErr w:type="gramStart"/>
      <w:r>
        <w:rPr>
          <w:rFonts w:eastAsia="宋体" w:hint="eastAsia"/>
          <w:szCs w:val="20"/>
        </w:rPr>
        <w:t>in</w:t>
      </w:r>
      <w:r>
        <w:rPr>
          <w:rFonts w:eastAsia="宋体" w:hint="eastAsia"/>
          <w:szCs w:val="20"/>
        </w:rPr>
        <w:t>tuitively.With</w:t>
      </w:r>
      <w:proofErr w:type="spellEnd"/>
      <w:proofErr w:type="gramEnd"/>
      <w:r>
        <w:rPr>
          <w:rFonts w:eastAsia="宋体" w:hint="eastAsia"/>
          <w:szCs w:val="20"/>
        </w:rPr>
        <w:t xml:space="preserve"> option 1, the case that both </w:t>
      </w:r>
      <w:r>
        <w:rPr>
          <w:rFonts w:eastAsia="宋体" w:hint="eastAsia"/>
        </w:rPr>
        <w:t xml:space="preserve">port groups </w:t>
      </w:r>
      <w:r>
        <w:rPr>
          <w:rFonts w:eastAsia="宋体" w:hint="eastAsia"/>
          <w:szCs w:val="20"/>
        </w:rPr>
        <w:t xml:space="preserve">separately support full power is </w:t>
      </w:r>
      <w:r>
        <w:rPr>
          <w:rFonts w:eastAsia="宋体" w:hint="eastAsia"/>
          <w:szCs w:val="20"/>
        </w:rPr>
        <w:t xml:space="preserve">quite </w:t>
      </w:r>
      <w:r>
        <w:rPr>
          <w:rFonts w:eastAsia="宋体" w:hint="eastAsia"/>
          <w:szCs w:val="20"/>
        </w:rPr>
        <w:t>needed</w:t>
      </w:r>
      <w:r>
        <w:rPr>
          <w:rFonts w:eastAsia="宋体" w:hint="eastAsia"/>
          <w:szCs w:val="20"/>
        </w:rPr>
        <w:t xml:space="preserve">. </w:t>
      </w:r>
      <w:proofErr w:type="gramStart"/>
      <w:r>
        <w:rPr>
          <w:rFonts w:eastAsia="宋体" w:hint="eastAsia"/>
          <w:szCs w:val="20"/>
        </w:rPr>
        <w:t>So</w:t>
      </w:r>
      <w:proofErr w:type="gramEnd"/>
      <w:r>
        <w:rPr>
          <w:rFonts w:eastAsia="宋体" w:hint="eastAsia"/>
          <w:szCs w:val="20"/>
        </w:rPr>
        <w:t xml:space="preserve"> we believe </w:t>
      </w:r>
      <w:r>
        <w:rPr>
          <w:rFonts w:eastAsia="宋体" w:hint="eastAsia"/>
          <w:szCs w:val="20"/>
        </w:rPr>
        <w:t xml:space="preserve">this should be clarified. </w:t>
      </w:r>
      <w:r>
        <w:rPr>
          <w:rFonts w:eastAsia="宋体"/>
          <w:szCs w:val="20"/>
        </w:rPr>
        <w:t>Actually,</w:t>
      </w:r>
      <w:r>
        <w:rPr>
          <w:rFonts w:eastAsia="宋体" w:hint="eastAsia"/>
          <w:szCs w:val="20"/>
        </w:rPr>
        <w:t xml:space="preserve"> full power mode 1 and 2 should also be Ng specific parameters. </w:t>
      </w:r>
      <w:r>
        <w:rPr>
          <w:rFonts w:eastAsia="宋体"/>
          <w:szCs w:val="20"/>
        </w:rPr>
        <w:t>Some more details can be found in our co</w:t>
      </w:r>
      <w:r>
        <w:rPr>
          <w:rFonts w:eastAsia="宋体"/>
          <w:szCs w:val="20"/>
        </w:rPr>
        <w:t>mpanion contribution [6].</w:t>
      </w:r>
    </w:p>
    <w:p w:rsidR="00AD2F63" w:rsidRDefault="00CC49D7">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4</w:t>
      </w:r>
      <w:r>
        <w:rPr>
          <w:rFonts w:eastAsia="宋体" w:hint="eastAsia"/>
          <w:i/>
          <w:iCs/>
        </w:rPr>
        <w:t xml:space="preserve">: </w:t>
      </w:r>
      <w:r>
        <w:rPr>
          <w:rFonts w:hint="eastAsia"/>
          <w:i/>
          <w:iCs/>
        </w:rPr>
        <w:t xml:space="preserve">Regarding full power for Rel-18 UL </w:t>
      </w:r>
      <w:r>
        <w:rPr>
          <w:rFonts w:eastAsia="宋体" w:hint="eastAsia"/>
          <w:i/>
          <w:iCs/>
        </w:rPr>
        <w:t>8-</w:t>
      </w:r>
      <w:r>
        <w:rPr>
          <w:rFonts w:hint="eastAsia"/>
          <w:i/>
          <w:iCs/>
        </w:rPr>
        <w:t>Tx,</w:t>
      </w:r>
      <w:r>
        <w:rPr>
          <w:rFonts w:eastAsia="宋体" w:hint="eastAsia"/>
          <w:i/>
          <w:iCs/>
        </w:rPr>
        <w:t xml:space="preserve"> full power mode 0, 1 and 2 should be Ng specific</w:t>
      </w:r>
      <w:r>
        <w:rPr>
          <w:rFonts w:eastAsia="宋体" w:hint="eastAsia"/>
          <w:i/>
          <w:iCs/>
        </w:rPr>
        <w:t xml:space="preserve">. </w:t>
      </w:r>
    </w:p>
    <w:p w:rsidR="00AD2F63" w:rsidRDefault="00CC49D7">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AD2F63" w:rsidRDefault="00CC49D7">
      <w:pPr>
        <w:snapToGrid w:val="0"/>
        <w:spacing w:beforeLines="30" w:before="72" w:afterLines="30" w:after="72" w:line="288" w:lineRule="auto"/>
        <w:jc w:val="both"/>
      </w:pPr>
      <w:r>
        <w:rPr>
          <w:rFonts w:hint="eastAsia"/>
        </w:rPr>
        <w:lastRenderedPageBreak/>
        <w:t>I</w:t>
      </w:r>
      <w:r>
        <w:t xml:space="preserve">n this contribution, we </w:t>
      </w:r>
      <w:r>
        <w:rPr>
          <w:rFonts w:hint="eastAsia"/>
        </w:rPr>
        <w:t>provide</w:t>
      </w:r>
      <w:r>
        <w:t xml:space="preserve"> our views on Rel-18 </w:t>
      </w:r>
      <w:r>
        <w:rPr>
          <w:rFonts w:hint="eastAsia"/>
        </w:rPr>
        <w:t xml:space="preserve">UL </w:t>
      </w:r>
      <w:r>
        <w:rPr>
          <w:rFonts w:eastAsia="宋体" w:hint="eastAsia"/>
        </w:rPr>
        <w:t>8Tx</w:t>
      </w:r>
      <w:r>
        <w:rPr>
          <w:rFonts w:hint="eastAsia"/>
        </w:rPr>
        <w:t xml:space="preserve">. </w:t>
      </w:r>
      <w:r>
        <w:rPr>
          <w:rFonts w:eastAsia="宋体" w:hint="eastAsia"/>
        </w:rPr>
        <w:t>P</w:t>
      </w:r>
      <w:r>
        <w:rPr>
          <w:rFonts w:hint="eastAsia"/>
        </w:rPr>
        <w:t>roposals are listed as follows.</w:t>
      </w:r>
    </w:p>
    <w:p w:rsidR="00AD2F63" w:rsidRDefault="00CC49D7">
      <w:pPr>
        <w:snapToGrid w:val="0"/>
        <w:spacing w:beforeLines="30" w:before="72" w:afterLines="30" w:after="72" w:line="288" w:lineRule="auto"/>
        <w:jc w:val="both"/>
        <w:rPr>
          <w:i/>
          <w:kern w:val="2"/>
          <w:lang w:bidi="ar"/>
        </w:rPr>
      </w:pPr>
      <w:r>
        <w:rPr>
          <w:rFonts w:eastAsia="宋体" w:hint="eastAsia"/>
          <w:b/>
          <w:i/>
        </w:rPr>
        <w:t>Proposal 1</w:t>
      </w:r>
      <w:r>
        <w:rPr>
          <w:rFonts w:hint="eastAsia"/>
          <w:b/>
          <w:i/>
        </w:rPr>
        <w:t xml:space="preserve">: </w:t>
      </w:r>
      <w:r>
        <w:rPr>
          <w:rFonts w:eastAsia="宋体" w:hint="eastAsia"/>
          <w:bCs/>
          <w:i/>
        </w:rPr>
        <w:t>Regarding full power mode 1 f</w:t>
      </w:r>
      <w:r>
        <w:rPr>
          <w:rFonts w:hint="eastAsia"/>
          <w:bCs/>
          <w:i/>
        </w:rPr>
        <w:t>or 8-Tx</w:t>
      </w:r>
      <w:r>
        <w:rPr>
          <w:rFonts w:eastAsia="宋体" w:hint="eastAsia"/>
          <w:bCs/>
          <w:i/>
        </w:rPr>
        <w:t>, support one full power precoder for rank 4, Ng=8, as follows:</w:t>
      </w:r>
      <w:r>
        <w:rPr>
          <w:rFonts w:hint="eastAsia"/>
          <w:i/>
          <w:kern w:val="2"/>
          <w:lang w:bidi="ar"/>
        </w:rPr>
        <w:t xml:space="preserve"> </w:t>
      </w:r>
    </w:p>
    <w:p w:rsidR="00AD2F63" w:rsidRDefault="00CC49D7">
      <w:pPr>
        <w:snapToGrid w:val="0"/>
        <w:spacing w:beforeLines="30" w:before="72" w:afterLines="30" w:after="72" w:line="288" w:lineRule="auto"/>
        <w:jc w:val="both"/>
        <w:rPr>
          <w:i/>
          <w:iCs/>
          <w:kern w:val="2"/>
          <w:lang w:bidi="ar"/>
        </w:rPr>
      </w:pPr>
      <m:oMathPara>
        <m:oMath>
          <m:f>
            <m:fPr>
              <m:ctrlPr>
                <w:rPr>
                  <w:rFonts w:ascii="Cambria Math" w:eastAsia="宋体" w:hAnsi="Cambria Math" w:hint="eastAsia"/>
                  <w:i/>
                  <w:iCs/>
                </w:rPr>
              </m:ctrlPr>
            </m:fPr>
            <m:num>
              <m:r>
                <w:rPr>
                  <w:rFonts w:ascii="Cambria Math" w:eastAsia="宋体" w:hAnsi="Cambria Math" w:hint="eastAsia"/>
                </w:rPr>
                <m:t>1</m:t>
              </m:r>
            </m:num>
            <m:den>
              <m:r>
                <w:rPr>
                  <w:rFonts w:ascii="Cambria Math" w:eastAsia="宋体" w:hAnsi="Cambria Math" w:hint="eastAsia"/>
                </w:rPr>
                <m:t>2</m:t>
              </m:r>
              <m:rad>
                <m:radPr>
                  <m:degHide m:val="1"/>
                  <m:ctrlPr>
                    <w:rPr>
                      <w:rFonts w:ascii="Cambria Math" w:eastAsia="宋体" w:hAnsi="Cambria Math" w:hint="eastAsia"/>
                      <w:i/>
                      <w:iCs/>
                    </w:rPr>
                  </m:ctrlPr>
                </m:radPr>
                <m:deg/>
                <m:e>
                  <m:r>
                    <w:rPr>
                      <w:rFonts w:ascii="Cambria Math" w:eastAsia="宋体" w:hAnsi="Cambria Math" w:hint="eastAsia"/>
                    </w:rPr>
                    <m:t>2</m:t>
                  </m:r>
                </m:e>
              </m:rad>
            </m:den>
          </m:f>
          <m:d>
            <m:dPr>
              <m:begChr m:val="["/>
              <m:endChr m:val="]"/>
              <m:ctrlPr>
                <w:rPr>
                  <w:rFonts w:ascii="Cambria Math" w:hAnsi="Cambria Math"/>
                  <w:i/>
                  <w:iCs/>
                  <w:kern w:val="2"/>
                  <w:sz w:val="22"/>
                  <w14:ligatures w14:val="standardContextual"/>
                </w:rPr>
              </m:ctrlPr>
            </m:dPr>
            <m:e>
              <m:m>
                <m:mPr>
                  <m:mcs>
                    <m:mc>
                      <m:mcPr>
                        <m:count m:val="1"/>
                        <m:mcJc m:val="center"/>
                      </m:mcPr>
                    </m:mc>
                  </m:mcs>
                  <m:ctrlPr>
                    <w:rPr>
                      <w:rFonts w:ascii="Cambria Math" w:hAnsi="Cambria Math"/>
                      <w:i/>
                      <w:iCs/>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iCs/>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iCs/>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iCs/>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iCs/>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iCs/>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m:oMathPara>
    </w:p>
    <w:p w:rsidR="00AD2F63" w:rsidRDefault="00CC49D7">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2</w:t>
      </w:r>
      <w:r>
        <w:rPr>
          <w:rFonts w:eastAsia="宋体" w:hint="eastAsia"/>
          <w:i/>
          <w:iCs/>
        </w:rPr>
        <w:t xml:space="preserve">: </w:t>
      </w:r>
      <w:r>
        <w:rPr>
          <w:rFonts w:hint="eastAsia"/>
          <w:i/>
          <w:iCs/>
        </w:rPr>
        <w:t>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 xml:space="preserve">the following categories should </w:t>
      </w:r>
      <w:r>
        <w:rPr>
          <w:rFonts w:eastAsia="宋体" w:hint="eastAsia"/>
          <w:i/>
          <w:iCs/>
        </w:rPr>
        <w:t>be supported</w:t>
      </w:r>
      <w:r>
        <w:rPr>
          <w:rFonts w:eastAsia="宋体" w:hint="eastAsia"/>
          <w:b/>
          <w:bCs/>
          <w:i/>
          <w:iCs/>
          <w:szCs w:val="20"/>
          <w14:ligatures w14:val="standardContextual"/>
        </w:rPr>
        <w:t xml:space="preserve"> </w:t>
      </w:r>
      <w:r>
        <w:rPr>
          <w:rFonts w:eastAsia="宋体" w:hint="eastAsia"/>
          <w:i/>
          <w:iCs/>
          <w:szCs w:val="20"/>
          <w14:ligatures w14:val="standardContextual"/>
        </w:rPr>
        <w:t>for Ng=4</w:t>
      </w:r>
      <w:r>
        <w:rPr>
          <w:rFonts w:eastAsia="宋体" w:hint="eastAsia"/>
          <w:i/>
          <w:iCs/>
        </w:rPr>
        <w:t xml:space="preserve">, </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eastAsia="宋体" w:hint="eastAsia"/>
                <w:b/>
                <w:bCs/>
                <w:i/>
                <w:iCs/>
                <w:szCs w:val="20"/>
                <w14:ligatures w14:val="standardContextual"/>
              </w:rPr>
              <w:t>F</w:t>
            </w:r>
            <w:r>
              <w:rPr>
                <w:b/>
                <w:bCs/>
                <w:i/>
                <w:iCs/>
                <w:szCs w:val="20"/>
                <w14:ligatures w14:val="standardContextual"/>
              </w:rPr>
              <w:t>or Ng=</w:t>
            </w:r>
            <w:r>
              <w:rPr>
                <w:rFonts w:eastAsia="宋体" w:hint="eastAsia"/>
                <w:b/>
                <w:bCs/>
                <w:i/>
                <w:iCs/>
                <w:szCs w:val="20"/>
                <w14:ligatures w14:val="standardContextual"/>
              </w:rPr>
              <w:t xml:space="preserve">4, </w:t>
            </w:r>
            <w:r>
              <w:rPr>
                <w:b/>
                <w:bCs/>
                <w:i/>
                <w:iCs/>
                <w:szCs w:val="20"/>
                <w14:ligatures w14:val="standardContextual"/>
              </w:rPr>
              <w:t>Full power is supported by:</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 xml:space="preserve">Full power is supported by one of antenna groups: </w:t>
            </w:r>
          </w:p>
          <w:p w:rsidR="00AD2F63" w:rsidRDefault="00CC49D7">
            <w:pPr>
              <w:spacing w:after="0" w:line="240" w:lineRule="auto"/>
              <w:contextualSpacing/>
              <w:rPr>
                <w:i/>
                <w:iCs/>
                <w:szCs w:val="20"/>
                <w14:ligatures w14:val="standardContextual"/>
              </w:rPr>
            </w:pPr>
            <w:r>
              <w:rPr>
                <w:i/>
                <w:iCs/>
                <w:szCs w:val="20"/>
                <w14:ligatures w14:val="standardContextual"/>
              </w:rPr>
              <w:t xml:space="preserve">(x,0,0,0) </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rFonts w:eastAsia="宋体"/>
                <w:i/>
                <w:iCs/>
                <w:szCs w:val="20"/>
                <w14:ligatures w14:val="standardContextual"/>
              </w:rPr>
            </w:pPr>
            <w:r>
              <w:rPr>
                <w:i/>
                <w:iCs/>
                <w:szCs w:val="20"/>
                <w14:ligatures w14:val="standardContextual"/>
              </w:rPr>
              <w:t xml:space="preserve">Category </w:t>
            </w:r>
            <w:r>
              <w:rPr>
                <w:rFonts w:eastAsia="宋体" w:hint="eastAsia"/>
                <w:i/>
                <w:iCs/>
                <w:szCs w:val="20"/>
                <w14:ligatures w14:val="standardContextual"/>
              </w:rPr>
              <w:t>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Full power is supported by two non-adjacent antenna groups: (x,</w:t>
            </w:r>
            <w:proofErr w:type="gramStart"/>
            <w:r>
              <w:rPr>
                <w:i/>
                <w:iCs/>
                <w:szCs w:val="20"/>
                <w14:ligatures w14:val="standardContextual"/>
              </w:rPr>
              <w:t>0,x</w:t>
            </w:r>
            <w:proofErr w:type="gramEnd"/>
            <w:r>
              <w:rPr>
                <w:i/>
                <w:iCs/>
                <w:szCs w:val="20"/>
                <w14:ligatures w14:val="standardContextual"/>
              </w:rPr>
              <w:t xml:space="preserve">,0) </w:t>
            </w:r>
          </w:p>
        </w:tc>
      </w:tr>
    </w:tbl>
    <w:p w:rsidR="00AD2F63" w:rsidRDefault="00AD2F63">
      <w:pPr>
        <w:snapToGrid w:val="0"/>
        <w:spacing w:beforeLines="30" w:before="72" w:afterLines="30" w:after="72" w:line="288" w:lineRule="auto"/>
        <w:jc w:val="both"/>
        <w:rPr>
          <w:rFonts w:eastAsia="宋体"/>
        </w:rPr>
      </w:pPr>
    </w:p>
    <w:p w:rsidR="00AD2F63" w:rsidRDefault="00CC49D7">
      <w:pPr>
        <w:pStyle w:val="ListParagraph"/>
        <w:snapToGrid w:val="0"/>
        <w:spacing w:beforeLines="30" w:before="72" w:afterLines="30" w:after="72" w:line="288" w:lineRule="auto"/>
        <w:ind w:firstLineChars="0" w:firstLine="0"/>
        <w:jc w:val="both"/>
        <w:rPr>
          <w:rFonts w:eastAsia="宋体"/>
        </w:rPr>
      </w:pPr>
      <w:r>
        <w:rPr>
          <w:rFonts w:eastAsia="宋体" w:hint="eastAsia"/>
          <w:b/>
          <w:bCs/>
          <w:i/>
          <w:iCs/>
        </w:rPr>
        <w:t>Proposal 3</w:t>
      </w:r>
      <w:r>
        <w:rPr>
          <w:rFonts w:eastAsia="宋体" w:hint="eastAsia"/>
          <w:i/>
          <w:iCs/>
        </w:rPr>
        <w:t xml:space="preserve">: </w:t>
      </w:r>
      <w:r>
        <w:rPr>
          <w:rFonts w:hint="eastAsia"/>
          <w:i/>
          <w:iCs/>
        </w:rPr>
        <w:t>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the following categories should be supported</w:t>
      </w:r>
      <w:r>
        <w:rPr>
          <w:rFonts w:eastAsia="宋体" w:hint="eastAsia"/>
          <w:b/>
          <w:bCs/>
          <w:i/>
          <w:iCs/>
          <w:szCs w:val="20"/>
          <w14:ligatures w14:val="standardContextual"/>
        </w:rPr>
        <w:t xml:space="preserve"> </w:t>
      </w:r>
      <w:r>
        <w:rPr>
          <w:rFonts w:eastAsia="宋体" w:hint="eastAsia"/>
          <w:i/>
          <w:iCs/>
          <w:szCs w:val="20"/>
          <w14:ligatures w14:val="standardContextual"/>
        </w:rPr>
        <w:t>for Ng=8</w:t>
      </w:r>
      <w:r>
        <w:rPr>
          <w:rFonts w:eastAsia="宋体" w:hint="eastAsia"/>
          <w:i/>
          <w:iCs/>
        </w:rPr>
        <w:t xml:space="preserve">, </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AD2F63">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b/>
                <w:bCs/>
                <w:i/>
                <w:iCs/>
                <w:szCs w:val="20"/>
                <w14:ligatures w14:val="standardContextual"/>
              </w:rPr>
            </w:pPr>
            <w:r>
              <w:rPr>
                <w:b/>
                <w:bCs/>
                <w:i/>
                <w:iCs/>
                <w:szCs w:val="20"/>
                <w14:ligatures w14:val="standardContextual"/>
              </w:rPr>
              <w:t>Indicated 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rFonts w:eastAsia="宋体"/>
                <w:i/>
                <w:iCs/>
                <w:szCs w:val="20"/>
                <w14:ligatures w14:val="standardContextual"/>
              </w:rPr>
            </w:pPr>
            <w:r>
              <w:rPr>
                <w:rFonts w:eastAsia="宋体" w:hint="eastAsia"/>
                <w:b/>
                <w:bCs/>
                <w:i/>
                <w:iCs/>
                <w:szCs w:val="20"/>
                <w14:ligatures w14:val="standardContextual"/>
              </w:rPr>
              <w:t>F</w:t>
            </w:r>
            <w:r>
              <w:rPr>
                <w:b/>
                <w:bCs/>
                <w:i/>
                <w:iCs/>
                <w:szCs w:val="20"/>
                <w14:ligatures w14:val="standardContextual"/>
              </w:rPr>
              <w:t>or Ng=</w:t>
            </w:r>
            <w:r>
              <w:rPr>
                <w:rFonts w:eastAsia="宋体" w:hint="eastAsia"/>
                <w:b/>
                <w:bCs/>
                <w:i/>
                <w:iCs/>
                <w:szCs w:val="20"/>
                <w14:ligatures w14:val="standardContextual"/>
              </w:rPr>
              <w:t xml:space="preserve">8, </w:t>
            </w:r>
            <w:r>
              <w:rPr>
                <w:b/>
                <w:bCs/>
                <w:i/>
                <w:iCs/>
                <w:szCs w:val="20"/>
                <w14:ligatures w14:val="standardContextual"/>
              </w:rPr>
              <w:t>Full power is supported by:</w:t>
            </w:r>
          </w:p>
        </w:tc>
      </w:tr>
      <w:tr w:rsidR="00AD2F63">
        <w:trPr>
          <w:trHeight w:val="336"/>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hint="eastAsia"/>
                <w:i/>
                <w:iCs/>
                <w:szCs w:val="20"/>
                <w14:ligatures w14:val="standardContextual"/>
              </w:rPr>
              <w:t>(x,</w:t>
            </w:r>
            <w:r>
              <w:rPr>
                <w:i/>
                <w:iCs/>
                <w:szCs w:val="20"/>
                <w14:ligatures w14:val="standardContextual"/>
              </w:rPr>
              <w:t>0,0</w:t>
            </w:r>
            <w:r>
              <w:rPr>
                <w:rFonts w:hint="eastAsia"/>
                <w:i/>
                <w:iCs/>
                <w:szCs w:val="20"/>
                <w14:ligatures w14:val="standardContextual"/>
              </w:rPr>
              <w:t>,0, 0,0</w:t>
            </w:r>
            <w:r>
              <w:rPr>
                <w:i/>
                <w:iCs/>
                <w:szCs w:val="20"/>
                <w14:ligatures w14:val="standardContextual"/>
              </w:rPr>
              <w:t>,0</w:t>
            </w:r>
            <w:r>
              <w:rPr>
                <w:rFonts w:hint="eastAsia"/>
                <w:i/>
                <w:iCs/>
                <w:szCs w:val="20"/>
                <w14:ligatures w14:val="standardContextual"/>
              </w:rPr>
              <w:t>,0)</w:t>
            </w:r>
          </w:p>
        </w:tc>
      </w:tr>
      <w:tr w:rsidR="00AD2F63">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hint="eastAsia"/>
                <w:i/>
                <w:iCs/>
                <w:szCs w:val="20"/>
                <w14:ligatures w14:val="standardContextual"/>
              </w:rPr>
              <w:t>(x,</w:t>
            </w:r>
            <w:r>
              <w:rPr>
                <w:i/>
                <w:iCs/>
                <w:szCs w:val="20"/>
                <w14:ligatures w14:val="standardContextual"/>
              </w:rPr>
              <w:t>0,0</w:t>
            </w:r>
            <w:r>
              <w:rPr>
                <w:rFonts w:hint="eastAsia"/>
                <w:i/>
                <w:iCs/>
                <w:szCs w:val="20"/>
                <w14:ligatures w14:val="standardContextual"/>
              </w:rPr>
              <w:t>,0, x,0</w:t>
            </w:r>
            <w:r>
              <w:rPr>
                <w:i/>
                <w:iCs/>
                <w:szCs w:val="20"/>
                <w14:ligatures w14:val="standardContextual"/>
              </w:rPr>
              <w:t>,0</w:t>
            </w:r>
            <w:r>
              <w:rPr>
                <w:rFonts w:hint="eastAsia"/>
                <w:i/>
                <w:iCs/>
                <w:szCs w:val="20"/>
                <w14:ligatures w14:val="standardContextual"/>
              </w:rPr>
              <w:t>,0)</w:t>
            </w:r>
          </w:p>
        </w:tc>
      </w:tr>
      <w:tr w:rsidR="00AD2F63">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i/>
                <w:iCs/>
                <w:szCs w:val="20"/>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tcPr>
          <w:p w:rsidR="00AD2F63" w:rsidRDefault="00CC49D7">
            <w:pPr>
              <w:spacing w:after="0" w:line="240" w:lineRule="auto"/>
              <w:contextualSpacing/>
              <w:rPr>
                <w:i/>
                <w:iCs/>
                <w:szCs w:val="20"/>
                <w14:ligatures w14:val="standardContextual"/>
              </w:rPr>
            </w:pPr>
            <w:r>
              <w:rPr>
                <w:rFonts w:hint="eastAsia"/>
                <w:i/>
                <w:iCs/>
                <w:szCs w:val="20"/>
                <w14:ligatures w14:val="standardContextual"/>
              </w:rPr>
              <w:t>(x,</w:t>
            </w:r>
            <w:proofErr w:type="gramStart"/>
            <w:r>
              <w:rPr>
                <w:i/>
                <w:iCs/>
                <w:szCs w:val="20"/>
                <w14:ligatures w14:val="standardContextual"/>
              </w:rPr>
              <w:t>0,</w:t>
            </w:r>
            <w:r>
              <w:rPr>
                <w:rFonts w:hint="eastAsia"/>
                <w:i/>
                <w:iCs/>
                <w:szCs w:val="20"/>
                <w14:ligatures w14:val="standardContextual"/>
              </w:rPr>
              <w:t>x</w:t>
            </w:r>
            <w:proofErr w:type="gramEnd"/>
            <w:r>
              <w:rPr>
                <w:rFonts w:hint="eastAsia"/>
                <w:i/>
                <w:iCs/>
                <w:szCs w:val="20"/>
                <w14:ligatures w14:val="standardContextual"/>
              </w:rPr>
              <w:t>,0, x,0</w:t>
            </w:r>
            <w:r>
              <w:rPr>
                <w:i/>
                <w:iCs/>
                <w:szCs w:val="20"/>
                <w14:ligatures w14:val="standardContextual"/>
              </w:rPr>
              <w:t>,</w:t>
            </w:r>
            <w:r>
              <w:rPr>
                <w:rFonts w:hint="eastAsia"/>
                <w:i/>
                <w:iCs/>
                <w:szCs w:val="20"/>
                <w14:ligatures w14:val="standardContextual"/>
              </w:rPr>
              <w:t>x,0)</w:t>
            </w:r>
          </w:p>
        </w:tc>
      </w:tr>
    </w:tbl>
    <w:p w:rsidR="00AD2F63" w:rsidRDefault="00CC49D7">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4</w:t>
      </w:r>
      <w:r>
        <w:rPr>
          <w:rFonts w:eastAsia="宋体" w:hint="eastAsia"/>
          <w:i/>
          <w:iCs/>
        </w:rPr>
        <w:t xml:space="preserve">: </w:t>
      </w:r>
      <w:r>
        <w:rPr>
          <w:rFonts w:hint="eastAsia"/>
          <w:i/>
          <w:iCs/>
        </w:rPr>
        <w:t xml:space="preserve">Regarding full power for Rel-18 UL </w:t>
      </w:r>
      <w:r>
        <w:rPr>
          <w:rFonts w:eastAsia="宋体" w:hint="eastAsia"/>
          <w:i/>
          <w:iCs/>
        </w:rPr>
        <w:t>8-</w:t>
      </w:r>
      <w:r>
        <w:rPr>
          <w:rFonts w:hint="eastAsia"/>
          <w:i/>
          <w:iCs/>
        </w:rPr>
        <w:t>Tx,</w:t>
      </w:r>
      <w:r>
        <w:rPr>
          <w:rFonts w:eastAsia="宋体" w:hint="eastAsia"/>
          <w:i/>
          <w:iCs/>
        </w:rPr>
        <w:t xml:space="preserve"> full power mode 0, 1 and 2 should be Ng specific</w:t>
      </w:r>
      <w:bookmarkStart w:id="0" w:name="_GoBack"/>
      <w:bookmarkEnd w:id="0"/>
      <w:r>
        <w:rPr>
          <w:rFonts w:eastAsia="宋体" w:hint="eastAsia"/>
          <w:i/>
          <w:iCs/>
        </w:rPr>
        <w:t>.</w:t>
      </w:r>
    </w:p>
    <w:p w:rsidR="00AD2F63" w:rsidRDefault="00AD2F63">
      <w:pPr>
        <w:pStyle w:val="ListParagraph"/>
        <w:snapToGrid w:val="0"/>
        <w:spacing w:beforeLines="30" w:before="72" w:afterLines="30" w:after="72" w:line="288" w:lineRule="auto"/>
        <w:ind w:firstLineChars="0" w:firstLine="0"/>
        <w:jc w:val="both"/>
        <w:rPr>
          <w:rFonts w:eastAsia="宋体"/>
        </w:rPr>
      </w:pPr>
    </w:p>
    <w:p w:rsidR="00AD2F63" w:rsidRDefault="00CC49D7">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AD2F63" w:rsidRDefault="00CC49D7">
      <w:pPr>
        <w:pStyle w:val="NoSpacing1"/>
        <w:numPr>
          <w:ilvl w:val="0"/>
          <w:numId w:val="15"/>
        </w:numPr>
        <w:snapToGrid w:val="0"/>
        <w:spacing w:beforeLines="50" w:before="120" w:afterLines="50" w:after="120" w:line="288" w:lineRule="auto"/>
        <w:rPr>
          <w:bCs/>
          <w:sz w:val="20"/>
          <w:szCs w:val="20"/>
        </w:rPr>
      </w:pPr>
      <w:r>
        <w:rPr>
          <w:rFonts w:hint="eastAsia"/>
          <w:bCs/>
          <w:sz w:val="20"/>
          <w:szCs w:val="20"/>
        </w:rPr>
        <w:t>TS 38.211 i00</w:t>
      </w:r>
    </w:p>
    <w:p w:rsidR="00AD2F63" w:rsidRDefault="00CC49D7">
      <w:pPr>
        <w:pStyle w:val="NoSpacing1"/>
        <w:numPr>
          <w:ilvl w:val="0"/>
          <w:numId w:val="15"/>
        </w:numPr>
        <w:snapToGrid w:val="0"/>
        <w:spacing w:beforeLines="50" w:before="120" w:afterLines="50" w:after="120" w:line="288" w:lineRule="auto"/>
        <w:rPr>
          <w:bCs/>
          <w:sz w:val="20"/>
          <w:szCs w:val="20"/>
        </w:rPr>
      </w:pPr>
      <w:r>
        <w:rPr>
          <w:rFonts w:hint="eastAsia"/>
          <w:bCs/>
          <w:sz w:val="20"/>
          <w:szCs w:val="20"/>
        </w:rPr>
        <w:t>TS 38.212 i00</w:t>
      </w:r>
    </w:p>
    <w:p w:rsidR="00AD2F63" w:rsidRDefault="00CC49D7">
      <w:pPr>
        <w:pStyle w:val="NoSpacing1"/>
        <w:numPr>
          <w:ilvl w:val="0"/>
          <w:numId w:val="15"/>
        </w:numPr>
        <w:snapToGrid w:val="0"/>
        <w:spacing w:beforeLines="50" w:before="120" w:afterLines="50" w:after="120" w:line="288" w:lineRule="auto"/>
        <w:rPr>
          <w:bCs/>
          <w:sz w:val="20"/>
          <w:szCs w:val="20"/>
        </w:rPr>
      </w:pPr>
      <w:r>
        <w:rPr>
          <w:rFonts w:hint="eastAsia"/>
          <w:bCs/>
          <w:sz w:val="20"/>
          <w:szCs w:val="20"/>
        </w:rPr>
        <w:t>TS 38.213 i00</w:t>
      </w:r>
    </w:p>
    <w:p w:rsidR="00AD2F63" w:rsidRDefault="00CC49D7">
      <w:pPr>
        <w:pStyle w:val="NoSpacing1"/>
        <w:numPr>
          <w:ilvl w:val="0"/>
          <w:numId w:val="15"/>
        </w:numPr>
        <w:snapToGrid w:val="0"/>
        <w:spacing w:beforeLines="50" w:before="120" w:afterLines="50" w:after="120" w:line="288" w:lineRule="auto"/>
        <w:rPr>
          <w:bCs/>
          <w:sz w:val="20"/>
          <w:szCs w:val="20"/>
        </w:rPr>
      </w:pPr>
      <w:r>
        <w:rPr>
          <w:rFonts w:hint="eastAsia"/>
          <w:bCs/>
          <w:sz w:val="20"/>
          <w:szCs w:val="20"/>
        </w:rPr>
        <w:t>Chair's notes for RAN1#114</w:t>
      </w:r>
    </w:p>
    <w:p w:rsidR="00AD2F63" w:rsidRDefault="00CC49D7">
      <w:pPr>
        <w:pStyle w:val="NoSpacing1"/>
        <w:numPr>
          <w:ilvl w:val="0"/>
          <w:numId w:val="15"/>
        </w:numPr>
        <w:snapToGrid w:val="0"/>
        <w:spacing w:beforeLines="50" w:before="120" w:afterLines="50" w:after="120" w:line="288" w:lineRule="auto"/>
        <w:rPr>
          <w:bCs/>
          <w:sz w:val="20"/>
          <w:szCs w:val="20"/>
        </w:rPr>
      </w:pPr>
      <w:r>
        <w:rPr>
          <w:rFonts w:hint="eastAsia"/>
          <w:bCs/>
          <w:sz w:val="20"/>
          <w:szCs w:val="20"/>
        </w:rPr>
        <w:t xml:space="preserve">R1-2308966, FL Summary on SRI/TPMI Enhancements; Preparatory, </w:t>
      </w:r>
      <w:r>
        <w:rPr>
          <w:rFonts w:hint="eastAsia"/>
          <w:bCs/>
          <w:sz w:val="20"/>
          <w:szCs w:val="20"/>
        </w:rPr>
        <w:t>Moderator (</w:t>
      </w:r>
      <w:proofErr w:type="spellStart"/>
      <w:r>
        <w:rPr>
          <w:rFonts w:hint="eastAsia"/>
          <w:bCs/>
          <w:sz w:val="20"/>
          <w:szCs w:val="20"/>
        </w:rPr>
        <w:t>InterDigital</w:t>
      </w:r>
      <w:proofErr w:type="spellEnd"/>
      <w:r>
        <w:rPr>
          <w:rFonts w:hint="eastAsia"/>
          <w:bCs/>
          <w:sz w:val="20"/>
          <w:szCs w:val="20"/>
        </w:rPr>
        <w:t>, Inc.)</w:t>
      </w:r>
    </w:p>
    <w:p w:rsidR="00AD2F63" w:rsidRDefault="00CC49D7">
      <w:pPr>
        <w:pStyle w:val="NoSpacing1"/>
        <w:numPr>
          <w:ilvl w:val="0"/>
          <w:numId w:val="15"/>
        </w:numPr>
        <w:snapToGrid w:val="0"/>
        <w:spacing w:beforeLines="50" w:before="120" w:afterLines="50" w:after="120" w:line="288" w:lineRule="auto"/>
        <w:rPr>
          <w:bCs/>
          <w:sz w:val="20"/>
          <w:szCs w:val="20"/>
        </w:rPr>
      </w:pPr>
      <w:r>
        <w:rPr>
          <w:bCs/>
          <w:sz w:val="20"/>
          <w:szCs w:val="20"/>
        </w:rPr>
        <w:t>R1-2309022, Discussion on UE features for NR MIMO evolution, ZTE</w:t>
      </w:r>
    </w:p>
    <w:sectPr w:rsidR="00AD2F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9D7" w:rsidRDefault="00CC49D7">
      <w:pPr>
        <w:spacing w:line="240" w:lineRule="auto"/>
      </w:pPr>
      <w:r>
        <w:separator/>
      </w:r>
    </w:p>
  </w:endnote>
  <w:endnote w:type="continuationSeparator" w:id="0">
    <w:p w:rsidR="00CC49D7" w:rsidRDefault="00CC49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9D7" w:rsidRDefault="00CC49D7">
      <w:pPr>
        <w:spacing w:after="0"/>
      </w:pPr>
      <w:r>
        <w:separator/>
      </w:r>
    </w:p>
  </w:footnote>
  <w:footnote w:type="continuationSeparator" w:id="0">
    <w:p w:rsidR="00CC49D7" w:rsidRDefault="00CC49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FACD08D5"/>
    <w:multiLevelType w:val="singleLevel"/>
    <w:tmpl w:val="FACD08D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B8E423"/>
    <w:multiLevelType w:val="multilevel"/>
    <w:tmpl w:val="16B8E4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10"/>
  </w:num>
  <w:num w:numId="7">
    <w:abstractNumId w:val="4"/>
  </w:num>
  <w:num w:numId="8">
    <w:abstractNumId w:val="7"/>
  </w:num>
  <w:num w:numId="9">
    <w:abstractNumId w:val="8"/>
  </w:num>
  <w:num w:numId="10">
    <w:abstractNumId w:val="12"/>
  </w:num>
  <w:num w:numId="11">
    <w:abstractNumId w:val="6"/>
  </w:num>
  <w:num w:numId="12">
    <w:abstractNumId w:val="9"/>
  </w:num>
  <w:num w:numId="13">
    <w:abstractNumId w:val="5"/>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B43"/>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85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2F63"/>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9D5"/>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9D7"/>
    <w:rsid w:val="00CC4C24"/>
    <w:rsid w:val="00CC4C7F"/>
    <w:rsid w:val="00CC536B"/>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55E"/>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241C3"/>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1F4C33"/>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33A94"/>
    <w:rsid w:val="07E9601C"/>
    <w:rsid w:val="07EC1E32"/>
    <w:rsid w:val="07FD44E9"/>
    <w:rsid w:val="0805407D"/>
    <w:rsid w:val="08127126"/>
    <w:rsid w:val="08132E8B"/>
    <w:rsid w:val="081C2739"/>
    <w:rsid w:val="081D706E"/>
    <w:rsid w:val="081E70A6"/>
    <w:rsid w:val="085A6A73"/>
    <w:rsid w:val="085C0A8C"/>
    <w:rsid w:val="085D519A"/>
    <w:rsid w:val="086378F2"/>
    <w:rsid w:val="086D1BC3"/>
    <w:rsid w:val="08706B4B"/>
    <w:rsid w:val="08715CEC"/>
    <w:rsid w:val="087C2164"/>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B1E35"/>
    <w:rsid w:val="0BDB6546"/>
    <w:rsid w:val="0BDD031D"/>
    <w:rsid w:val="0BDF6946"/>
    <w:rsid w:val="0BE03ACA"/>
    <w:rsid w:val="0BE0571E"/>
    <w:rsid w:val="0BE15659"/>
    <w:rsid w:val="0BE32529"/>
    <w:rsid w:val="0C005070"/>
    <w:rsid w:val="0C0A75FC"/>
    <w:rsid w:val="0C195365"/>
    <w:rsid w:val="0C1A6BD3"/>
    <w:rsid w:val="0C1D70C9"/>
    <w:rsid w:val="0C3314C7"/>
    <w:rsid w:val="0C4E722F"/>
    <w:rsid w:val="0C6F4E58"/>
    <w:rsid w:val="0C724AF9"/>
    <w:rsid w:val="0C76751C"/>
    <w:rsid w:val="0CDD0595"/>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90B69"/>
    <w:rsid w:val="0E0A5187"/>
    <w:rsid w:val="0E2D6B35"/>
    <w:rsid w:val="0E2F4311"/>
    <w:rsid w:val="0E332166"/>
    <w:rsid w:val="0E3917FF"/>
    <w:rsid w:val="0E3D4D05"/>
    <w:rsid w:val="0E3D5131"/>
    <w:rsid w:val="0E422A2D"/>
    <w:rsid w:val="0E613656"/>
    <w:rsid w:val="0E72787E"/>
    <w:rsid w:val="0E7A0C1A"/>
    <w:rsid w:val="0E86024B"/>
    <w:rsid w:val="0E983A75"/>
    <w:rsid w:val="0E9F5739"/>
    <w:rsid w:val="0EA33EF7"/>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557B7"/>
    <w:rsid w:val="11DD6585"/>
    <w:rsid w:val="11E40B58"/>
    <w:rsid w:val="11F101CA"/>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7FA7064"/>
    <w:rsid w:val="18002CEE"/>
    <w:rsid w:val="1802776E"/>
    <w:rsid w:val="180414A0"/>
    <w:rsid w:val="18077070"/>
    <w:rsid w:val="18105F38"/>
    <w:rsid w:val="18117661"/>
    <w:rsid w:val="18185B1D"/>
    <w:rsid w:val="18276946"/>
    <w:rsid w:val="18414CA2"/>
    <w:rsid w:val="18523ADE"/>
    <w:rsid w:val="18660CD4"/>
    <w:rsid w:val="1866694B"/>
    <w:rsid w:val="186C1ACE"/>
    <w:rsid w:val="186D267B"/>
    <w:rsid w:val="186E6282"/>
    <w:rsid w:val="18846D8C"/>
    <w:rsid w:val="18890477"/>
    <w:rsid w:val="188C5B30"/>
    <w:rsid w:val="188C6C7D"/>
    <w:rsid w:val="18960812"/>
    <w:rsid w:val="189C7EF6"/>
    <w:rsid w:val="18B04B4D"/>
    <w:rsid w:val="18C5316D"/>
    <w:rsid w:val="18C95DAC"/>
    <w:rsid w:val="18E45EDB"/>
    <w:rsid w:val="18E51357"/>
    <w:rsid w:val="18E87E12"/>
    <w:rsid w:val="18EE5F4D"/>
    <w:rsid w:val="18F5052C"/>
    <w:rsid w:val="18F759A6"/>
    <w:rsid w:val="19041774"/>
    <w:rsid w:val="191D14D9"/>
    <w:rsid w:val="191D6F79"/>
    <w:rsid w:val="191E393A"/>
    <w:rsid w:val="19280474"/>
    <w:rsid w:val="193D27C8"/>
    <w:rsid w:val="193D63F7"/>
    <w:rsid w:val="19693EEF"/>
    <w:rsid w:val="196B5F41"/>
    <w:rsid w:val="19703908"/>
    <w:rsid w:val="199860B4"/>
    <w:rsid w:val="19A33A02"/>
    <w:rsid w:val="19C45A74"/>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73F8"/>
    <w:rsid w:val="1E490459"/>
    <w:rsid w:val="1E50751B"/>
    <w:rsid w:val="1E545B82"/>
    <w:rsid w:val="1E6D1C74"/>
    <w:rsid w:val="1E736E4E"/>
    <w:rsid w:val="1E7E5EB1"/>
    <w:rsid w:val="1E85157F"/>
    <w:rsid w:val="1E9B048D"/>
    <w:rsid w:val="1EA61B83"/>
    <w:rsid w:val="1EA82227"/>
    <w:rsid w:val="1EAD188D"/>
    <w:rsid w:val="1EBB5B15"/>
    <w:rsid w:val="1EBC72D1"/>
    <w:rsid w:val="1EBC7347"/>
    <w:rsid w:val="1EBF31D2"/>
    <w:rsid w:val="1EC642BC"/>
    <w:rsid w:val="1ECF5F59"/>
    <w:rsid w:val="1EDC2551"/>
    <w:rsid w:val="1EF23920"/>
    <w:rsid w:val="1EF80396"/>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805A39"/>
    <w:rsid w:val="208650E9"/>
    <w:rsid w:val="20A13861"/>
    <w:rsid w:val="20A47AD9"/>
    <w:rsid w:val="20BB0C31"/>
    <w:rsid w:val="20C66D8E"/>
    <w:rsid w:val="20CB0F0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A75F1"/>
    <w:rsid w:val="21783CF4"/>
    <w:rsid w:val="2183462B"/>
    <w:rsid w:val="218E4A09"/>
    <w:rsid w:val="218E6399"/>
    <w:rsid w:val="21974E6F"/>
    <w:rsid w:val="219C6DDD"/>
    <w:rsid w:val="219D7448"/>
    <w:rsid w:val="21BE776A"/>
    <w:rsid w:val="21D15181"/>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847B8"/>
    <w:rsid w:val="231E3ED2"/>
    <w:rsid w:val="232C6E61"/>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608E8"/>
    <w:rsid w:val="240808CD"/>
    <w:rsid w:val="240E0128"/>
    <w:rsid w:val="2415698C"/>
    <w:rsid w:val="241E7985"/>
    <w:rsid w:val="242C6B52"/>
    <w:rsid w:val="243026FF"/>
    <w:rsid w:val="24351B4F"/>
    <w:rsid w:val="243647BB"/>
    <w:rsid w:val="24420388"/>
    <w:rsid w:val="24501237"/>
    <w:rsid w:val="24576A62"/>
    <w:rsid w:val="245E385D"/>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6A722E"/>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735836"/>
    <w:rsid w:val="288F225C"/>
    <w:rsid w:val="28950C43"/>
    <w:rsid w:val="28963582"/>
    <w:rsid w:val="289E6725"/>
    <w:rsid w:val="28A94DC4"/>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C61255"/>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EE2628"/>
    <w:rsid w:val="2BFC3156"/>
    <w:rsid w:val="2C0A73E9"/>
    <w:rsid w:val="2C287F50"/>
    <w:rsid w:val="2C295EB9"/>
    <w:rsid w:val="2C35729B"/>
    <w:rsid w:val="2C4628DA"/>
    <w:rsid w:val="2C4A4ACF"/>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DF5EEF"/>
    <w:rsid w:val="2EE054B3"/>
    <w:rsid w:val="2EEB0155"/>
    <w:rsid w:val="2EFA0186"/>
    <w:rsid w:val="2F0236C3"/>
    <w:rsid w:val="2F082BB8"/>
    <w:rsid w:val="2F0A286A"/>
    <w:rsid w:val="2F0F048D"/>
    <w:rsid w:val="2F140F9B"/>
    <w:rsid w:val="2F1C0E0B"/>
    <w:rsid w:val="2F254A5A"/>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11D6B"/>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5950CE"/>
    <w:rsid w:val="33775E05"/>
    <w:rsid w:val="337A35DE"/>
    <w:rsid w:val="338574F9"/>
    <w:rsid w:val="339A2BC5"/>
    <w:rsid w:val="339A6C1F"/>
    <w:rsid w:val="33A078AB"/>
    <w:rsid w:val="33A222F8"/>
    <w:rsid w:val="33B145B5"/>
    <w:rsid w:val="33B85C62"/>
    <w:rsid w:val="33B90357"/>
    <w:rsid w:val="33C3614F"/>
    <w:rsid w:val="33D62B96"/>
    <w:rsid w:val="33E32DB1"/>
    <w:rsid w:val="33FF7460"/>
    <w:rsid w:val="344127C5"/>
    <w:rsid w:val="344241AA"/>
    <w:rsid w:val="3449655C"/>
    <w:rsid w:val="34526E6E"/>
    <w:rsid w:val="345B0A32"/>
    <w:rsid w:val="345B1895"/>
    <w:rsid w:val="3463085A"/>
    <w:rsid w:val="3485590E"/>
    <w:rsid w:val="34946C2E"/>
    <w:rsid w:val="34A24AD6"/>
    <w:rsid w:val="34C04708"/>
    <w:rsid w:val="34C967AE"/>
    <w:rsid w:val="34D46D17"/>
    <w:rsid w:val="34DB6424"/>
    <w:rsid w:val="34FB1B37"/>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103C4E"/>
    <w:rsid w:val="361D59BA"/>
    <w:rsid w:val="36247CCA"/>
    <w:rsid w:val="36280FB0"/>
    <w:rsid w:val="36400759"/>
    <w:rsid w:val="364225B8"/>
    <w:rsid w:val="364B4F18"/>
    <w:rsid w:val="364E7ED2"/>
    <w:rsid w:val="36544E83"/>
    <w:rsid w:val="365C59B6"/>
    <w:rsid w:val="36601F32"/>
    <w:rsid w:val="36631C6B"/>
    <w:rsid w:val="367B06EC"/>
    <w:rsid w:val="367B49B4"/>
    <w:rsid w:val="368400A0"/>
    <w:rsid w:val="368B76C7"/>
    <w:rsid w:val="36A57135"/>
    <w:rsid w:val="36AF0D32"/>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5BB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8A5380"/>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B335AC"/>
    <w:rsid w:val="3BBD1D2D"/>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27B19"/>
    <w:rsid w:val="3E1533E8"/>
    <w:rsid w:val="3E2653DC"/>
    <w:rsid w:val="3E2B50D7"/>
    <w:rsid w:val="3E327F30"/>
    <w:rsid w:val="3E4754A6"/>
    <w:rsid w:val="3E637D1D"/>
    <w:rsid w:val="3E6926D3"/>
    <w:rsid w:val="3E786B14"/>
    <w:rsid w:val="3E791587"/>
    <w:rsid w:val="3E7C6196"/>
    <w:rsid w:val="3E860F10"/>
    <w:rsid w:val="3E913ADC"/>
    <w:rsid w:val="3E922B85"/>
    <w:rsid w:val="3E922D59"/>
    <w:rsid w:val="3E9A15EB"/>
    <w:rsid w:val="3EA3700C"/>
    <w:rsid w:val="3EA44973"/>
    <w:rsid w:val="3EAF1665"/>
    <w:rsid w:val="3EB02205"/>
    <w:rsid w:val="3EB47903"/>
    <w:rsid w:val="3EC8056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5AFC"/>
    <w:rsid w:val="3FC41983"/>
    <w:rsid w:val="3FD1414D"/>
    <w:rsid w:val="3FD23641"/>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126336"/>
    <w:rsid w:val="411713CA"/>
    <w:rsid w:val="411A6663"/>
    <w:rsid w:val="412D5086"/>
    <w:rsid w:val="41390F2B"/>
    <w:rsid w:val="41490BDC"/>
    <w:rsid w:val="414B2D54"/>
    <w:rsid w:val="41614F01"/>
    <w:rsid w:val="416E59E3"/>
    <w:rsid w:val="417C4EC1"/>
    <w:rsid w:val="41904377"/>
    <w:rsid w:val="419863AF"/>
    <w:rsid w:val="41A664B7"/>
    <w:rsid w:val="41A838F3"/>
    <w:rsid w:val="41B601E7"/>
    <w:rsid w:val="41C855F3"/>
    <w:rsid w:val="41CF3C25"/>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62746"/>
    <w:rsid w:val="42D830AD"/>
    <w:rsid w:val="42F91034"/>
    <w:rsid w:val="430D271D"/>
    <w:rsid w:val="431C1C4F"/>
    <w:rsid w:val="43262E27"/>
    <w:rsid w:val="434841F7"/>
    <w:rsid w:val="434B5B64"/>
    <w:rsid w:val="434D6B99"/>
    <w:rsid w:val="43524A05"/>
    <w:rsid w:val="435D2298"/>
    <w:rsid w:val="43670072"/>
    <w:rsid w:val="437F792B"/>
    <w:rsid w:val="43803E8F"/>
    <w:rsid w:val="43871CB4"/>
    <w:rsid w:val="43A77BF2"/>
    <w:rsid w:val="43BE214E"/>
    <w:rsid w:val="43C34694"/>
    <w:rsid w:val="43EA3DFE"/>
    <w:rsid w:val="43ED298C"/>
    <w:rsid w:val="43EF2991"/>
    <w:rsid w:val="43F4696E"/>
    <w:rsid w:val="43F73162"/>
    <w:rsid w:val="44202971"/>
    <w:rsid w:val="442D4378"/>
    <w:rsid w:val="44597BEE"/>
    <w:rsid w:val="44705939"/>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B27D4C"/>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783238"/>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2A2312"/>
    <w:rsid w:val="4B497841"/>
    <w:rsid w:val="4B503DE9"/>
    <w:rsid w:val="4B592E57"/>
    <w:rsid w:val="4B731311"/>
    <w:rsid w:val="4B875FCE"/>
    <w:rsid w:val="4B9A2375"/>
    <w:rsid w:val="4BAD17E4"/>
    <w:rsid w:val="4BDC3C83"/>
    <w:rsid w:val="4BDE7E35"/>
    <w:rsid w:val="4BF9319F"/>
    <w:rsid w:val="4C0D0455"/>
    <w:rsid w:val="4C1F7A5B"/>
    <w:rsid w:val="4C221D61"/>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262B1B"/>
    <w:rsid w:val="4D566C49"/>
    <w:rsid w:val="4D6037A5"/>
    <w:rsid w:val="4D743AA4"/>
    <w:rsid w:val="4D7D21EE"/>
    <w:rsid w:val="4D834946"/>
    <w:rsid w:val="4D993267"/>
    <w:rsid w:val="4D996C11"/>
    <w:rsid w:val="4D9E3EF8"/>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D60BC"/>
    <w:rsid w:val="4E865C84"/>
    <w:rsid w:val="4EB00275"/>
    <w:rsid w:val="4EDE397C"/>
    <w:rsid w:val="4EE8169B"/>
    <w:rsid w:val="4EF06C46"/>
    <w:rsid w:val="4EF13E61"/>
    <w:rsid w:val="4EF614BA"/>
    <w:rsid w:val="4EF62402"/>
    <w:rsid w:val="4EFB53AB"/>
    <w:rsid w:val="4F087D26"/>
    <w:rsid w:val="4F35630A"/>
    <w:rsid w:val="4F362E18"/>
    <w:rsid w:val="4F3D590F"/>
    <w:rsid w:val="4F3E1627"/>
    <w:rsid w:val="4F4551C9"/>
    <w:rsid w:val="4F497B36"/>
    <w:rsid w:val="4F506C72"/>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0F50EE3"/>
    <w:rsid w:val="51116C5C"/>
    <w:rsid w:val="51326B0B"/>
    <w:rsid w:val="51336612"/>
    <w:rsid w:val="513D38A6"/>
    <w:rsid w:val="51456AF4"/>
    <w:rsid w:val="51483DE7"/>
    <w:rsid w:val="515C1DCC"/>
    <w:rsid w:val="51657C34"/>
    <w:rsid w:val="51790E28"/>
    <w:rsid w:val="517C7028"/>
    <w:rsid w:val="517F5C5F"/>
    <w:rsid w:val="518B222C"/>
    <w:rsid w:val="51956070"/>
    <w:rsid w:val="519634A4"/>
    <w:rsid w:val="519B6609"/>
    <w:rsid w:val="51AD08D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6C35B5"/>
    <w:rsid w:val="5270507D"/>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1A68F1"/>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8F86277"/>
    <w:rsid w:val="59015094"/>
    <w:rsid w:val="59033141"/>
    <w:rsid w:val="592A36F8"/>
    <w:rsid w:val="5930512A"/>
    <w:rsid w:val="59413198"/>
    <w:rsid w:val="59477195"/>
    <w:rsid w:val="59491402"/>
    <w:rsid w:val="594F0C2A"/>
    <w:rsid w:val="594F459C"/>
    <w:rsid w:val="59543D69"/>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7773D"/>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9B1C77"/>
    <w:rsid w:val="5EA35CFD"/>
    <w:rsid w:val="5EAC0670"/>
    <w:rsid w:val="5EAC0CC5"/>
    <w:rsid w:val="5EAF07E9"/>
    <w:rsid w:val="5EB74D06"/>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460BE4"/>
    <w:rsid w:val="62511DE0"/>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C68A4"/>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D285A"/>
    <w:rsid w:val="69A23095"/>
    <w:rsid w:val="69AB5DBB"/>
    <w:rsid w:val="69B06EFE"/>
    <w:rsid w:val="69B840F1"/>
    <w:rsid w:val="69C91948"/>
    <w:rsid w:val="69CC3785"/>
    <w:rsid w:val="69F22996"/>
    <w:rsid w:val="69FD45AC"/>
    <w:rsid w:val="6A041BF5"/>
    <w:rsid w:val="6A0C6539"/>
    <w:rsid w:val="6A2314C2"/>
    <w:rsid w:val="6A2826A1"/>
    <w:rsid w:val="6A3242A4"/>
    <w:rsid w:val="6A404314"/>
    <w:rsid w:val="6A434562"/>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464DCC"/>
    <w:rsid w:val="6D513210"/>
    <w:rsid w:val="6D5216BC"/>
    <w:rsid w:val="6D616216"/>
    <w:rsid w:val="6D627650"/>
    <w:rsid w:val="6D663E0B"/>
    <w:rsid w:val="6D882348"/>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554A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41211"/>
    <w:rsid w:val="73263829"/>
    <w:rsid w:val="73300890"/>
    <w:rsid w:val="733626C3"/>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467BAD"/>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E16B6C"/>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4A334F"/>
    <w:rsid w:val="785E7689"/>
    <w:rsid w:val="78646C75"/>
    <w:rsid w:val="786A7B13"/>
    <w:rsid w:val="786C541C"/>
    <w:rsid w:val="78762B5D"/>
    <w:rsid w:val="78814E68"/>
    <w:rsid w:val="788249B9"/>
    <w:rsid w:val="78886D15"/>
    <w:rsid w:val="78B2035E"/>
    <w:rsid w:val="78B26E06"/>
    <w:rsid w:val="78B43B82"/>
    <w:rsid w:val="78B57D9C"/>
    <w:rsid w:val="78BB1830"/>
    <w:rsid w:val="78BB76EA"/>
    <w:rsid w:val="78D143A0"/>
    <w:rsid w:val="78E26C73"/>
    <w:rsid w:val="78E47FA1"/>
    <w:rsid w:val="78E76B0F"/>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46928"/>
    <w:rsid w:val="7A4653BA"/>
    <w:rsid w:val="7A4E1321"/>
    <w:rsid w:val="7A657390"/>
    <w:rsid w:val="7A765EEC"/>
    <w:rsid w:val="7A773B5D"/>
    <w:rsid w:val="7A78007C"/>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B5ABE"/>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C054494"/>
    <w:rsid w:val="7C071C5F"/>
    <w:rsid w:val="7C1311BA"/>
    <w:rsid w:val="7C194469"/>
    <w:rsid w:val="7C1A6CD5"/>
    <w:rsid w:val="7C2630F4"/>
    <w:rsid w:val="7C3A066B"/>
    <w:rsid w:val="7C3F61A8"/>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8349B"/>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FF598"/>
  <w15:docId w15:val="{96B8FCAA-C998-4A69-96BA-15BB27C6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C3D8E-F349-43C0-999A-801D04F1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1827</Words>
  <Characters>10420</Characters>
  <Application>Microsoft Office Word</Application>
  <DocSecurity>0</DocSecurity>
  <Lines>86</Lines>
  <Paragraphs>24</Paragraphs>
  <ScaleCrop>false</ScaleCrop>
  <Company>www.zte.com.cn</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45</cp:revision>
  <dcterms:created xsi:type="dcterms:W3CDTF">2022-08-12T13:04:00Z</dcterms:created>
  <dcterms:modified xsi:type="dcterms:W3CDTF">2023-09-28T09:57:00Z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E716CAA68B4142589593664B8575550D</vt:lpwstr>
  </property>
</Properties>
</file>